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before="0" w:after="0"/>
        <w:ind w:hanging="0" w:start="0"/>
        <w:jc w:val="center"/>
        <w:rPr>
          <w:rFonts w:ascii="Times New Roman" w:hAnsi="Times New Roman" w:cs="Times New Roman"/>
          <w:sz w:val="20"/>
        </w:rPr>
      </w:pPr>
      <w:r>
        <w:rPr>
          <w:rFonts w:cs="Times New Roman" w:ascii="Times New Roman" w:hAnsi="Times New Roman"/>
          <w:sz w:val="20"/>
        </w:rPr>
        <w:t>Privileged and Confidential</w:t>
      </w:r>
    </w:p>
    <w:p>
      <w:pPr>
        <w:pStyle w:val="Normal"/>
        <w:jc w:val="center"/>
        <w:rPr>
          <w:b/>
          <w:i/>
          <w:i/>
          <w:sz w:val="20"/>
        </w:rPr>
      </w:pPr>
      <w:r>
        <w:rPr>
          <w:b/>
          <w:i/>
          <w:sz w:val="20"/>
        </w:rPr>
        <w:t>Prepared at the Request of Counsel</w:t>
      </w:r>
    </w:p>
    <w:p>
      <w:pPr>
        <w:pStyle w:val="Heading4"/>
        <w:tabs>
          <w:tab w:val="clear" w:pos="720"/>
          <w:tab w:val="left" w:pos="1440" w:leader="none"/>
        </w:tabs>
        <w:spacing w:before="0" w:after="0"/>
        <w:ind w:hanging="0" w:start="0"/>
        <w:jc w:val="center"/>
        <w:rPr>
          <w:rFonts w:ascii="Times New Roman" w:hAnsi="Times New Roman" w:cs="Times New Roman"/>
          <w:sz w:val="24"/>
        </w:rPr>
      </w:pPr>
      <w:bookmarkStart w:id="0" w:name="PrivConf"/>
      <w:bookmarkEnd w:id="0"/>
      <w:r>
        <w:rPr>
          <w:rFonts w:cs="Times New Roman" w:ascii="Times New Roman" w:hAnsi="Times New Roman"/>
          <w:sz w:val="24"/>
        </w:rPr>
        <w:t>Data Request for Dynegy-Enron Transaction</w:t>
      </w:r>
    </w:p>
    <w:p>
      <w:pPr>
        <w:pStyle w:val="Heading4"/>
        <w:tabs>
          <w:tab w:val="clear" w:pos="720"/>
          <w:tab w:val="left" w:pos="1440" w:leader="none"/>
        </w:tabs>
        <w:spacing w:before="0" w:after="0"/>
        <w:ind w:hanging="0" w:start="0"/>
        <w:jc w:val="center"/>
        <w:rPr>
          <w:rFonts w:ascii="Times New Roman" w:hAnsi="Times New Roman" w:cs="Times New Roman"/>
          <w:sz w:val="24"/>
        </w:rPr>
      </w:pPr>
      <w:r>
        <w:rPr>
          <w:rFonts w:cs="Times New Roman" w:ascii="Times New Roman" w:hAnsi="Times New Roman"/>
          <w:sz w:val="24"/>
        </w:rPr>
        <w:t>(Competition-Related Issues FERC)</w:t>
      </w:r>
    </w:p>
    <w:p>
      <w:pPr>
        <w:pStyle w:val="Normal"/>
        <w:pBdr>
          <w:bottom w:val="single" w:sz="12" w:space="1" w:color="000000"/>
        </w:pBdr>
        <w:rPr>
          <w:rFonts w:ascii="Times New Roman" w:hAnsi="Times New Roman" w:cs="Times New Roman"/>
          <w:sz w:val="24"/>
        </w:rPr>
      </w:pPr>
      <w:r>
        <w:rPr>
          <w:rFonts w:cs="Times New Roman"/>
          <w:sz w:val="24"/>
        </w:rPr>
      </w:r>
    </w:p>
    <w:p>
      <w:pPr>
        <w:pStyle w:val="Footer"/>
        <w:spacing w:before="0" w:after="240"/>
        <w:rPr/>
      </w:pPr>
      <w:r>
        <w:rPr/>
        <w:t xml:space="preserve">Below is a preliminary list of the data that will be required in order to perform the necessary competition analyses for the transaction, with a specific focus on the FERC filing.  In general, the analyses will rely on publicly available data, however, for the items listed below, the public information is generally not sufficient or needs to be confirmed.  </w:t>
      </w:r>
    </w:p>
    <w:p>
      <w:pPr>
        <w:pStyle w:val="Footer"/>
        <w:spacing w:before="0" w:after="240"/>
        <w:rPr/>
      </w:pPr>
      <w:r>
        <w:rPr/>
        <w:t xml:space="preserve">The data request below focuses on both horizontal (electricity) and vertical (gas-electric) market power study.  Some of the items may not be relevant for either or both companies, but are included to verify our understanding of each company’s positions.  </w:t>
      </w:r>
    </w:p>
    <w:p>
      <w:pPr>
        <w:pStyle w:val="Heading1"/>
        <w:ind w:hanging="0" w:start="0"/>
        <w:rPr/>
      </w:pPr>
      <w:r>
        <w:rPr/>
        <w:t>GENERAL INFORMATION</w:t>
      </w:r>
    </w:p>
    <w:p>
      <w:pPr>
        <w:pStyle w:val="Footer"/>
        <w:numPr>
          <w:ilvl w:val="0"/>
          <w:numId w:val="3"/>
        </w:numPr>
        <w:spacing w:before="0" w:after="240"/>
        <w:rPr/>
      </w:pPr>
      <w:r>
        <w:rPr/>
        <w:t>Any new ventures planned by Dynegy, Enron or any of their subsidiaries that are not yet public and that will have to be taken into account in a competition analysis.  This might include, for example, any joint ventures for asset ownership or development in energy-related businesses, including new generation or capacity purchases—both regulated or unregulated.</w:t>
      </w:r>
    </w:p>
    <w:p>
      <w:pPr>
        <w:pStyle w:val="Heading1"/>
        <w:ind w:hanging="0" w:start="0"/>
        <w:rPr/>
      </w:pPr>
      <w:r>
        <w:rPr/>
        <w:t>GENERATION</w:t>
      </w:r>
    </w:p>
    <w:p>
      <w:pPr>
        <w:pStyle w:val="Heading2"/>
        <w:ind w:hanging="0" w:start="0"/>
        <w:rPr/>
      </w:pPr>
      <w:r>
        <w:rPr/>
        <w:t>Electric Generating Resources</w:t>
      </w:r>
    </w:p>
    <w:p>
      <w:pPr>
        <w:pStyle w:val="Footer"/>
        <w:numPr>
          <w:ilvl w:val="0"/>
          <w:numId w:val="3"/>
        </w:numPr>
        <w:spacing w:before="0" w:after="240"/>
        <w:rPr/>
      </w:pPr>
      <w:r>
        <w:rPr/>
        <w:t xml:space="preserve">We have been provided a list of Dynegy’s owned generation.  For all the projects (other than Midwest Generation and West Coast Power), we need to know: </w:t>
      </w:r>
    </w:p>
    <w:p>
      <w:pPr>
        <w:pStyle w:val="Footer"/>
        <w:numPr>
          <w:ilvl w:val="0"/>
          <w:numId w:val="2"/>
        </w:numPr>
        <w:spacing w:before="0" w:after="240"/>
        <w:rPr/>
      </w:pPr>
      <w:r>
        <w:rPr/>
        <w:t>the control area (utility) to which it is interconnected</w:t>
      </w:r>
    </w:p>
    <w:p>
      <w:pPr>
        <w:pStyle w:val="Footer"/>
        <w:numPr>
          <w:ilvl w:val="0"/>
          <w:numId w:val="2"/>
        </w:numPr>
        <w:spacing w:before="0" w:after="240"/>
        <w:ind w:hanging="360" w:start="1080" w:end="0"/>
        <w:rPr/>
      </w:pPr>
      <w:r>
        <w:rPr/>
        <w:t>if the generation is gas-fired, the transportation source of gas supply (i.e., which LDC or pipeline supplies the generation).</w:t>
      </w:r>
    </w:p>
    <w:p>
      <w:pPr>
        <w:pStyle w:val="Footer"/>
        <w:numPr>
          <w:ilvl w:val="0"/>
          <w:numId w:val="3"/>
        </w:numPr>
        <w:spacing w:before="0" w:after="240"/>
        <w:rPr/>
      </w:pPr>
      <w:r>
        <w:rPr/>
        <w:t xml:space="preserve">We need a list of Enron’s owned or leased generation:  </w:t>
      </w:r>
    </w:p>
    <w:p>
      <w:pPr>
        <w:pStyle w:val="Footer"/>
        <w:numPr>
          <w:ilvl w:val="0"/>
          <w:numId w:val="2"/>
        </w:numPr>
        <w:spacing w:before="0" w:after="240"/>
        <w:rPr/>
      </w:pPr>
      <w:r>
        <w:rPr/>
        <w:t>ownership</w:t>
      </w:r>
    </w:p>
    <w:p>
      <w:pPr>
        <w:pStyle w:val="Footer"/>
        <w:numPr>
          <w:ilvl w:val="0"/>
          <w:numId w:val="2"/>
        </w:numPr>
        <w:spacing w:before="0" w:after="240"/>
        <w:rPr/>
      </w:pPr>
      <w:r>
        <w:rPr/>
        <w:t>other owners and their shares for jointly owned plants</w:t>
      </w:r>
    </w:p>
    <w:p>
      <w:pPr>
        <w:pStyle w:val="Footer"/>
        <w:numPr>
          <w:ilvl w:val="0"/>
          <w:numId w:val="2"/>
        </w:numPr>
        <w:spacing w:before="0" w:after="240"/>
        <w:rPr/>
      </w:pPr>
      <w:r>
        <w:rPr/>
        <w:t>fuel type and unit type</w:t>
      </w:r>
    </w:p>
    <w:p>
      <w:pPr>
        <w:pStyle w:val="Footer"/>
        <w:numPr>
          <w:ilvl w:val="0"/>
          <w:numId w:val="2"/>
        </w:numPr>
        <w:spacing w:before="0" w:after="240"/>
        <w:rPr/>
      </w:pPr>
      <w:r>
        <w:rPr/>
        <w:t>natural gas pipeline connections, if applicable</w:t>
      </w:r>
    </w:p>
    <w:p>
      <w:pPr>
        <w:pStyle w:val="Footer"/>
        <w:numPr>
          <w:ilvl w:val="0"/>
          <w:numId w:val="2"/>
        </w:numPr>
        <w:spacing w:before="0" w:after="240"/>
        <w:rPr/>
      </w:pPr>
      <w:r>
        <w:rPr/>
        <w:t>average heat rate</w:t>
      </w:r>
    </w:p>
    <w:p>
      <w:pPr>
        <w:pStyle w:val="Footer"/>
        <w:numPr>
          <w:ilvl w:val="0"/>
          <w:numId w:val="2"/>
        </w:numPr>
        <w:spacing w:before="0" w:after="240"/>
        <w:rPr/>
      </w:pPr>
      <w:r>
        <w:rPr/>
        <w:t xml:space="preserve"> </w:t>
      </w:r>
      <w:r>
        <w:rPr/>
        <w:t xml:space="preserve">control area electric transmission interconnections.  </w:t>
      </w:r>
    </w:p>
    <w:p>
      <w:pPr>
        <w:pStyle w:val="Footer"/>
        <w:numPr>
          <w:ilvl w:val="0"/>
          <w:numId w:val="2"/>
        </w:numPr>
        <w:spacing w:before="0" w:after="240"/>
        <w:rPr/>
      </w:pPr>
      <w:r>
        <w:rPr/>
        <w:t>[Note:  Enron’s Portland General Electric assets can be excluded.]</w:t>
      </w:r>
    </w:p>
    <w:p>
      <w:pPr>
        <w:pStyle w:val="Footer"/>
        <w:numPr>
          <w:ilvl w:val="0"/>
          <w:numId w:val="3"/>
        </w:numPr>
        <w:spacing w:before="0" w:after="240"/>
        <w:rPr/>
      </w:pPr>
      <w:r>
        <w:rPr/>
        <w:t>For both companies:  Any new merchant capacity planned to be in service by December 31, 2003.  We will need to know the applicants’ plans (including plans of any post-transaction affiliates)</w:t>
      </w:r>
    </w:p>
    <w:p>
      <w:pPr>
        <w:pStyle w:val="Footer"/>
        <w:numPr>
          <w:ilvl w:val="0"/>
          <w:numId w:val="2"/>
        </w:numPr>
        <w:spacing w:before="0" w:after="240"/>
        <w:rPr/>
      </w:pPr>
      <w:r>
        <w:rPr/>
        <w:t>location (interconnection)</w:t>
      </w:r>
    </w:p>
    <w:p>
      <w:pPr>
        <w:pStyle w:val="Footer"/>
        <w:numPr>
          <w:ilvl w:val="0"/>
          <w:numId w:val="2"/>
        </w:numPr>
        <w:spacing w:before="0" w:after="240"/>
        <w:rPr/>
      </w:pPr>
      <w:r>
        <w:rPr/>
        <w:t xml:space="preserve">size (MW) </w:t>
      </w:r>
    </w:p>
    <w:p>
      <w:pPr>
        <w:pStyle w:val="Footer"/>
        <w:numPr>
          <w:ilvl w:val="0"/>
          <w:numId w:val="2"/>
        </w:numPr>
        <w:spacing w:before="0" w:after="240"/>
        <w:rPr/>
      </w:pPr>
      <w:r>
        <w:rPr/>
        <w:t>in-service date</w:t>
      </w:r>
    </w:p>
    <w:p>
      <w:pPr>
        <w:pStyle w:val="Footer"/>
        <w:numPr>
          <w:ilvl w:val="0"/>
          <w:numId w:val="2"/>
        </w:numPr>
        <w:spacing w:before="0" w:after="240"/>
        <w:rPr/>
      </w:pPr>
      <w:r>
        <w:rPr/>
        <w:t>unit type</w:t>
      </w:r>
    </w:p>
    <w:p>
      <w:pPr>
        <w:pStyle w:val="Footer"/>
        <w:numPr>
          <w:ilvl w:val="0"/>
          <w:numId w:val="2"/>
        </w:numPr>
        <w:spacing w:before="0" w:after="240"/>
        <w:rPr/>
      </w:pPr>
      <w:r>
        <w:rPr/>
        <w:t xml:space="preserve">natural gas pipeline connections, if applicable  </w:t>
      </w:r>
    </w:p>
    <w:p>
      <w:pPr>
        <w:pStyle w:val="Footer"/>
        <w:numPr>
          <w:ilvl w:val="0"/>
          <w:numId w:val="3"/>
        </w:numPr>
        <w:spacing w:before="0" w:after="240"/>
        <w:rPr/>
      </w:pPr>
      <w:r>
        <w:rPr/>
        <w:t>Description of portfolio of “proven” generating sites for future expansion</w:t>
      </w:r>
    </w:p>
    <w:p>
      <w:pPr>
        <w:pStyle w:val="Heading2"/>
        <w:ind w:hanging="0" w:start="0"/>
        <w:rPr/>
      </w:pPr>
      <w:r>
        <w:rPr/>
        <w:t>Long-Term Commitments (and other contract information)</w:t>
      </w:r>
    </w:p>
    <w:p>
      <w:pPr>
        <w:pStyle w:val="Footer"/>
        <w:numPr>
          <w:ilvl w:val="0"/>
          <w:numId w:val="3"/>
        </w:numPr>
        <w:spacing w:before="0" w:after="240"/>
        <w:rPr/>
      </w:pPr>
      <w:r>
        <w:rPr/>
        <w:t xml:space="preserve">Specific information on long-term (one year or more in duration) purchases and sales for applicants, by contract, including the amount of capacity, and duration of each contract.  For this purpose, let’s start with </w:t>
      </w:r>
      <w:r>
        <w:rPr>
          <w:u w:val="single"/>
        </w:rPr>
        <w:t>physical delivery</w:t>
      </w:r>
      <w:r>
        <w:rPr/>
        <w:t xml:space="preserve"> (i.e., asset-based) deals or tolling arrangements only.  (Dynegy already has provided information in a tabulation for Dynegy Marketing and Trade, “Long Term Contract Assets”) </w:t>
      </w:r>
    </w:p>
    <w:p>
      <w:pPr>
        <w:pStyle w:val="Footer"/>
        <w:numPr>
          <w:ilvl w:val="0"/>
          <w:numId w:val="2"/>
        </w:numPr>
        <w:spacing w:before="0" w:after="240"/>
        <w:rPr/>
      </w:pPr>
      <w:r>
        <w:rPr/>
        <w:t>Counterparty</w:t>
      </w:r>
    </w:p>
    <w:p>
      <w:pPr>
        <w:pStyle w:val="Footer"/>
        <w:numPr>
          <w:ilvl w:val="0"/>
          <w:numId w:val="2"/>
        </w:numPr>
        <w:spacing w:before="0" w:after="240"/>
        <w:rPr/>
      </w:pPr>
      <w:r>
        <w:rPr/>
        <w:t>Unit, if unit-contingent contract</w:t>
      </w:r>
    </w:p>
    <w:p>
      <w:pPr>
        <w:pStyle w:val="Footer"/>
        <w:numPr>
          <w:ilvl w:val="0"/>
          <w:numId w:val="2"/>
        </w:numPr>
        <w:spacing w:before="0" w:after="240"/>
        <w:rPr/>
      </w:pPr>
      <w:r>
        <w:rPr/>
        <w:t>System, if system sale/purchase</w:t>
      </w:r>
    </w:p>
    <w:p>
      <w:pPr>
        <w:pStyle w:val="Footer"/>
        <w:numPr>
          <w:ilvl w:val="0"/>
          <w:numId w:val="2"/>
        </w:numPr>
        <w:spacing w:before="0" w:after="240"/>
        <w:rPr/>
      </w:pPr>
      <w:r>
        <w:rPr/>
        <w:t>Receipt and delivery point</w:t>
      </w:r>
    </w:p>
    <w:p>
      <w:pPr>
        <w:pStyle w:val="Footer"/>
        <w:numPr>
          <w:ilvl w:val="0"/>
          <w:numId w:val="2"/>
        </w:numPr>
        <w:spacing w:before="0" w:after="240"/>
        <w:rPr/>
      </w:pPr>
      <w:r>
        <w:rPr/>
        <w:t>MW</w:t>
      </w:r>
    </w:p>
    <w:p>
      <w:pPr>
        <w:pStyle w:val="Footer"/>
        <w:numPr>
          <w:ilvl w:val="0"/>
          <w:numId w:val="2"/>
        </w:numPr>
        <w:spacing w:before="0" w:after="240"/>
        <w:rPr/>
      </w:pPr>
      <w:r>
        <w:rPr/>
        <w:t>Term</w:t>
      </w:r>
    </w:p>
    <w:p>
      <w:pPr>
        <w:pStyle w:val="Footer"/>
        <w:numPr>
          <w:ilvl w:val="0"/>
          <w:numId w:val="2"/>
        </w:numPr>
        <w:spacing w:before="0" w:after="240"/>
        <w:rPr/>
      </w:pPr>
      <w:r>
        <w:rPr/>
        <w:t>Pricing terms</w:t>
      </w:r>
    </w:p>
    <w:p>
      <w:pPr>
        <w:pStyle w:val="Footer"/>
        <w:numPr>
          <w:ilvl w:val="0"/>
          <w:numId w:val="2"/>
        </w:numPr>
        <w:spacing w:before="0" w:after="240"/>
        <w:rPr/>
      </w:pPr>
      <w:r>
        <w:rPr/>
        <w:t>Dispatch rights</w:t>
      </w:r>
    </w:p>
    <w:p>
      <w:pPr>
        <w:pStyle w:val="Footer"/>
        <w:numPr>
          <w:ilvl w:val="0"/>
          <w:numId w:val="3"/>
        </w:numPr>
        <w:spacing w:before="0" w:after="240"/>
        <w:rPr/>
      </w:pPr>
      <w:r>
        <w:rPr/>
        <w:t xml:space="preserve">Aggregated information on wholesale purchase and sales for Illinois Power such as typically would be filed in the FERC Form 1 for 2000.  </w:t>
      </w:r>
    </w:p>
    <w:p>
      <w:pPr>
        <w:pStyle w:val="Footer"/>
        <w:numPr>
          <w:ilvl w:val="0"/>
          <w:numId w:val="3"/>
        </w:numPr>
        <w:spacing w:before="0" w:after="240"/>
        <w:rPr/>
      </w:pPr>
      <w:r>
        <w:rPr/>
        <w:t>Summary of quarterly reports filed at FERC with power marketing data for each company.  If these data can be disaggregated by location of sale or purchase (receipt or delivery), it would be helpful.</w:t>
      </w:r>
    </w:p>
    <w:p>
      <w:pPr>
        <w:pStyle w:val="Footer"/>
        <w:numPr>
          <w:ilvl w:val="0"/>
          <w:numId w:val="3"/>
        </w:numPr>
        <w:spacing w:before="0" w:after="240"/>
        <w:rPr/>
      </w:pPr>
      <w:r>
        <w:rPr/>
        <w:t>Commitments for requirements load (other than Illinois Power).</w:t>
      </w:r>
    </w:p>
    <w:p>
      <w:pPr>
        <w:pStyle w:val="Footer"/>
        <w:numPr>
          <w:ilvl w:val="0"/>
          <w:numId w:val="2"/>
        </w:numPr>
        <w:spacing w:before="0" w:after="240"/>
        <w:rPr/>
      </w:pPr>
      <w:r>
        <w:rPr/>
        <w:t>Counterparty</w:t>
      </w:r>
    </w:p>
    <w:p>
      <w:pPr>
        <w:pStyle w:val="Footer"/>
        <w:numPr>
          <w:ilvl w:val="0"/>
          <w:numId w:val="2"/>
        </w:numPr>
        <w:spacing w:before="0" w:after="240"/>
        <w:rPr/>
      </w:pPr>
      <w:r>
        <w:rPr/>
        <w:t>Location</w:t>
      </w:r>
    </w:p>
    <w:p>
      <w:pPr>
        <w:pStyle w:val="Footer"/>
        <w:numPr>
          <w:ilvl w:val="0"/>
          <w:numId w:val="2"/>
        </w:numPr>
        <w:spacing w:before="0" w:after="240"/>
        <w:rPr/>
      </w:pPr>
      <w:r>
        <w:rPr/>
        <w:t>Duration</w:t>
      </w:r>
    </w:p>
    <w:p>
      <w:pPr>
        <w:pStyle w:val="Footer"/>
        <w:numPr>
          <w:ilvl w:val="0"/>
          <w:numId w:val="2"/>
        </w:numPr>
        <w:spacing w:before="0" w:after="240"/>
        <w:rPr/>
      </w:pPr>
      <w:r>
        <w:rPr/>
        <w:t xml:space="preserve">Peak load  </w:t>
      </w:r>
    </w:p>
    <w:p>
      <w:pPr>
        <w:pStyle w:val="Footer"/>
        <w:numPr>
          <w:ilvl w:val="0"/>
          <w:numId w:val="2"/>
        </w:numPr>
        <w:spacing w:before="0" w:after="240"/>
        <w:rPr/>
      </w:pPr>
      <w:r>
        <w:rPr/>
        <w:t>Approximate load factor</w:t>
      </w:r>
    </w:p>
    <w:p>
      <w:pPr>
        <w:pStyle w:val="Footer"/>
        <w:numPr>
          <w:ilvl w:val="0"/>
          <w:numId w:val="3"/>
        </w:numPr>
        <w:spacing w:before="0" w:after="240"/>
        <w:rPr/>
      </w:pPr>
      <w:r>
        <w:rPr/>
        <w:t>Other long-term contracts.  We still need to explore other information required, particularly with respect to financial or forward contracts.</w:t>
      </w:r>
    </w:p>
    <w:p>
      <w:pPr>
        <w:pStyle w:val="Heading2"/>
        <w:ind w:hanging="0" w:start="0"/>
        <w:rPr/>
      </w:pPr>
      <w:r>
        <w:rPr/>
        <w:t>Transmission Data</w:t>
      </w:r>
    </w:p>
    <w:p>
      <w:pPr>
        <w:pStyle w:val="Footer"/>
        <w:numPr>
          <w:ilvl w:val="0"/>
          <w:numId w:val="3"/>
        </w:numPr>
        <w:spacing w:before="0" w:after="240"/>
        <w:rPr/>
      </w:pPr>
      <w:r>
        <w:rPr/>
        <w:t xml:space="preserve">Detailed description of any long-term (one-year or more) firm electricity transmission contracts held by applicants or any affiliates, </w:t>
      </w:r>
    </w:p>
    <w:p>
      <w:pPr>
        <w:pStyle w:val="Footer"/>
        <w:numPr>
          <w:ilvl w:val="0"/>
          <w:numId w:val="2"/>
        </w:numPr>
        <w:spacing w:before="0" w:after="240"/>
        <w:rPr/>
      </w:pPr>
      <w:r>
        <w:rPr/>
        <w:t xml:space="preserve">Receipt and delivery points </w:t>
      </w:r>
    </w:p>
    <w:p>
      <w:pPr>
        <w:pStyle w:val="Footer"/>
        <w:numPr>
          <w:ilvl w:val="0"/>
          <w:numId w:val="2"/>
        </w:numPr>
        <w:spacing w:before="0" w:after="240"/>
        <w:rPr/>
      </w:pPr>
      <w:r>
        <w:rPr/>
        <w:t>Duration</w:t>
      </w:r>
    </w:p>
    <w:p>
      <w:pPr>
        <w:pStyle w:val="Footer"/>
        <w:numPr>
          <w:ilvl w:val="0"/>
          <w:numId w:val="2"/>
        </w:numPr>
        <w:spacing w:before="0" w:after="240"/>
        <w:rPr/>
      </w:pPr>
      <w:r>
        <w:rPr/>
        <w:t>Rollover./evergreen rights</w:t>
      </w:r>
    </w:p>
    <w:p>
      <w:pPr>
        <w:pStyle w:val="Footer"/>
        <w:numPr>
          <w:ilvl w:val="0"/>
          <w:numId w:val="2"/>
        </w:numPr>
        <w:spacing w:before="0" w:after="240"/>
        <w:ind w:hanging="360" w:start="1080" w:end="0"/>
        <w:rPr/>
      </w:pPr>
      <w:r>
        <w:rPr/>
        <w:t xml:space="preserve">Identification of asset-backing (i.e., whether the company owns or otherwise has secured physical power that will use the reserved transmission for delivery) </w:t>
      </w:r>
      <w:r>
        <w:br w:type="page"/>
      </w:r>
    </w:p>
    <w:p>
      <w:pPr>
        <w:pStyle w:val="Heading1"/>
        <w:ind w:hanging="0" w:start="0"/>
        <w:rPr/>
      </w:pPr>
      <w:r>
        <w:rPr/>
        <w:t>NATURAL GAS</w:t>
      </w:r>
    </w:p>
    <w:p>
      <w:pPr>
        <w:pStyle w:val="Heading2"/>
        <w:ind w:hanging="0" w:start="0"/>
        <w:rPr/>
      </w:pPr>
      <w:r>
        <w:rPr/>
        <w:t>Owned Pipelines</w:t>
      </w:r>
    </w:p>
    <w:p>
      <w:pPr>
        <w:pStyle w:val="Footer"/>
        <w:numPr>
          <w:ilvl w:val="0"/>
          <w:numId w:val="3"/>
        </w:numPr>
        <w:spacing w:before="0" w:after="240"/>
        <w:rPr/>
      </w:pPr>
      <w:r>
        <w:rPr/>
        <w:t>Ownership share for each affiliated pipeline</w:t>
      </w:r>
    </w:p>
    <w:p>
      <w:pPr>
        <w:pStyle w:val="Footer"/>
        <w:numPr>
          <w:ilvl w:val="0"/>
          <w:numId w:val="3"/>
        </w:numPr>
        <w:spacing w:before="0" w:after="240"/>
        <w:rPr/>
      </w:pPr>
      <w:r>
        <w:rPr/>
        <w:t>Summary data on pipeline</w:t>
      </w:r>
    </w:p>
    <w:p>
      <w:pPr>
        <w:pStyle w:val="Footer"/>
        <w:numPr>
          <w:ilvl w:val="0"/>
          <w:numId w:val="2"/>
        </w:numPr>
        <w:spacing w:before="0" w:after="240"/>
        <w:rPr/>
      </w:pPr>
      <w:r>
        <w:rPr/>
        <w:t>Total deliverability capacity at major delivery points.</w:t>
      </w:r>
    </w:p>
    <w:p>
      <w:pPr>
        <w:pStyle w:val="Footer"/>
        <w:numPr>
          <w:ilvl w:val="0"/>
          <w:numId w:val="2"/>
        </w:numPr>
        <w:spacing w:before="0" w:after="240"/>
        <w:rPr/>
      </w:pPr>
      <w:r>
        <w:rPr/>
        <w:t>Proportion of capacity under long-term contract</w:t>
      </w:r>
    </w:p>
    <w:p>
      <w:pPr>
        <w:pStyle w:val="Footer"/>
        <w:numPr>
          <w:ilvl w:val="3"/>
          <w:numId w:val="2"/>
        </w:numPr>
        <w:spacing w:before="0" w:after="240"/>
        <w:rPr/>
      </w:pPr>
      <w:r>
        <w:rPr/>
        <w:t>to affiliates</w:t>
      </w:r>
    </w:p>
    <w:p>
      <w:pPr>
        <w:pStyle w:val="Footer"/>
        <w:numPr>
          <w:ilvl w:val="3"/>
          <w:numId w:val="2"/>
        </w:numPr>
        <w:spacing w:before="0" w:after="240"/>
        <w:rPr/>
      </w:pPr>
      <w:r>
        <w:rPr/>
        <w:t>to non-affiliates</w:t>
      </w:r>
    </w:p>
    <w:p>
      <w:pPr>
        <w:pStyle w:val="Footer"/>
        <w:numPr>
          <w:ilvl w:val="0"/>
          <w:numId w:val="2"/>
        </w:numPr>
        <w:spacing w:before="0" w:after="240"/>
        <w:rPr/>
      </w:pPr>
      <w:r>
        <w:rPr/>
        <w:t>Proportion of capacity held for own use</w:t>
      </w:r>
    </w:p>
    <w:p>
      <w:pPr>
        <w:pStyle w:val="Footer"/>
        <w:numPr>
          <w:ilvl w:val="0"/>
          <w:numId w:val="2"/>
        </w:numPr>
        <w:spacing w:before="0" w:after="240"/>
        <w:rPr/>
      </w:pPr>
      <w:r>
        <w:rPr/>
        <w:t>Unsubscribed capacity, or capacity for which contracts will end within the next year.</w:t>
      </w:r>
    </w:p>
    <w:p>
      <w:pPr>
        <w:pStyle w:val="Footer"/>
        <w:numPr>
          <w:ilvl w:val="0"/>
          <w:numId w:val="2"/>
        </w:numPr>
        <w:spacing w:before="0" w:after="240"/>
        <w:rPr/>
      </w:pPr>
      <w:r>
        <w:rPr/>
        <w:t>Description of capacity release program</w:t>
      </w:r>
    </w:p>
    <w:p>
      <w:pPr>
        <w:pStyle w:val="Footer"/>
        <w:numPr>
          <w:ilvl w:val="0"/>
          <w:numId w:val="2"/>
        </w:numPr>
        <w:spacing w:before="0" w:after="240"/>
        <w:rPr/>
      </w:pPr>
      <w:r>
        <w:rPr/>
        <w:t>Discounting</w:t>
      </w:r>
    </w:p>
    <w:p>
      <w:pPr>
        <w:pStyle w:val="Footer"/>
        <w:numPr>
          <w:ilvl w:val="0"/>
          <w:numId w:val="3"/>
        </w:numPr>
        <w:spacing w:before="0" w:after="240"/>
        <w:rPr/>
      </w:pPr>
      <w:r>
        <w:rPr/>
        <w:t>Detailed customer list (similar to FERC Index of Customers) for firm transportation service, by pipeline</w:t>
      </w:r>
    </w:p>
    <w:p>
      <w:pPr>
        <w:pStyle w:val="Footer"/>
        <w:numPr>
          <w:ilvl w:val="0"/>
          <w:numId w:val="2"/>
        </w:numPr>
        <w:spacing w:before="0" w:after="240"/>
        <w:rPr/>
      </w:pPr>
      <w:r>
        <w:rPr/>
        <w:t>List of customers with contracts for one year or more</w:t>
      </w:r>
    </w:p>
    <w:p>
      <w:pPr>
        <w:pStyle w:val="Footer"/>
        <w:numPr>
          <w:ilvl w:val="0"/>
          <w:numId w:val="2"/>
        </w:numPr>
        <w:spacing w:before="0" w:after="240"/>
        <w:rPr/>
      </w:pPr>
      <w:r>
        <w:rPr/>
        <w:t>Capacity under contract for each customer</w:t>
      </w:r>
    </w:p>
    <w:p>
      <w:pPr>
        <w:pStyle w:val="Footer"/>
        <w:numPr>
          <w:ilvl w:val="0"/>
          <w:numId w:val="2"/>
        </w:numPr>
        <w:spacing w:before="0" w:after="240"/>
        <w:rPr/>
      </w:pPr>
      <w:r>
        <w:rPr/>
        <w:t>List of contract receipt and delivery points (GISB or city/county/state) for customer</w:t>
      </w:r>
    </w:p>
    <w:p>
      <w:pPr>
        <w:pStyle w:val="Footer"/>
        <w:numPr>
          <w:ilvl w:val="0"/>
          <w:numId w:val="2"/>
        </w:numPr>
        <w:spacing w:before="0" w:after="240"/>
        <w:rPr/>
      </w:pPr>
      <w:r>
        <w:rPr/>
        <w:t>Type of service</w:t>
      </w:r>
    </w:p>
    <w:p>
      <w:pPr>
        <w:pStyle w:val="Footer"/>
        <w:numPr>
          <w:ilvl w:val="0"/>
          <w:numId w:val="2"/>
        </w:numPr>
        <w:spacing w:before="0" w:after="240"/>
        <w:rPr/>
      </w:pPr>
      <w:r>
        <w:rPr/>
        <w:t>Length of contract</w:t>
      </w:r>
    </w:p>
    <w:p>
      <w:pPr>
        <w:pStyle w:val="Footer"/>
        <w:numPr>
          <w:ilvl w:val="0"/>
          <w:numId w:val="2"/>
        </w:numPr>
        <w:spacing w:before="0" w:after="240"/>
        <w:rPr/>
      </w:pPr>
      <w:r>
        <w:rPr/>
        <w:t>Tariff terms, if applicable</w:t>
      </w:r>
    </w:p>
    <w:p>
      <w:pPr>
        <w:pStyle w:val="Footer"/>
        <w:numPr>
          <w:ilvl w:val="0"/>
          <w:numId w:val="2"/>
        </w:numPr>
        <w:spacing w:before="0" w:after="240"/>
        <w:rPr/>
      </w:pPr>
      <w:r>
        <w:rPr/>
        <w:t>Secondary customers being served under capacity release</w:t>
      </w:r>
    </w:p>
    <w:p>
      <w:pPr>
        <w:pStyle w:val="Heading2"/>
        <w:ind w:hanging="0" w:start="0"/>
        <w:rPr/>
      </w:pPr>
      <w:r>
        <w:rPr/>
        <w:t>Owned Storage</w:t>
      </w:r>
    </w:p>
    <w:p>
      <w:pPr>
        <w:pStyle w:val="Footer"/>
        <w:numPr>
          <w:ilvl w:val="0"/>
          <w:numId w:val="3"/>
        </w:numPr>
        <w:spacing w:before="0" w:after="240"/>
        <w:rPr/>
      </w:pPr>
      <w:r>
        <w:rPr/>
        <w:t>Identification of all owned storage (natural gas or LNG facilities), and ownership share</w:t>
      </w:r>
    </w:p>
    <w:p>
      <w:pPr>
        <w:pStyle w:val="Footer"/>
        <w:numPr>
          <w:ilvl w:val="0"/>
          <w:numId w:val="2"/>
        </w:numPr>
        <w:spacing w:before="0" w:after="240"/>
        <w:rPr/>
      </w:pPr>
      <w:r>
        <w:rPr/>
        <w:t>Location</w:t>
      </w:r>
    </w:p>
    <w:p>
      <w:pPr>
        <w:pStyle w:val="Footer"/>
        <w:numPr>
          <w:ilvl w:val="0"/>
          <w:numId w:val="2"/>
        </w:numPr>
        <w:spacing w:before="0" w:after="240"/>
        <w:rPr/>
      </w:pPr>
      <w:r>
        <w:rPr/>
        <w:t>Capacity and deliverability</w:t>
      </w:r>
    </w:p>
    <w:p>
      <w:pPr>
        <w:pStyle w:val="Footer"/>
        <w:numPr>
          <w:ilvl w:val="0"/>
          <w:numId w:val="2"/>
        </w:numPr>
        <w:spacing w:before="0" w:after="240"/>
        <w:rPr/>
      </w:pPr>
      <w:r>
        <w:rPr/>
        <w:t>Proportion of capacity under long-term contract.</w:t>
      </w:r>
    </w:p>
    <w:p>
      <w:pPr>
        <w:pStyle w:val="Footer"/>
        <w:numPr>
          <w:ilvl w:val="3"/>
          <w:numId w:val="2"/>
        </w:numPr>
        <w:spacing w:before="0" w:after="240"/>
        <w:rPr/>
      </w:pPr>
      <w:r>
        <w:rPr/>
        <w:t>to affiliates</w:t>
      </w:r>
    </w:p>
    <w:p>
      <w:pPr>
        <w:pStyle w:val="Footer"/>
        <w:numPr>
          <w:ilvl w:val="3"/>
          <w:numId w:val="2"/>
        </w:numPr>
        <w:spacing w:before="0" w:after="240"/>
        <w:rPr/>
      </w:pPr>
      <w:r>
        <w:rPr/>
        <w:t>to non-affiliates</w:t>
      </w:r>
    </w:p>
    <w:p>
      <w:pPr>
        <w:pStyle w:val="Footer"/>
        <w:numPr>
          <w:ilvl w:val="0"/>
          <w:numId w:val="2"/>
        </w:numPr>
        <w:spacing w:before="0" w:after="240"/>
        <w:rPr/>
      </w:pPr>
      <w:r>
        <w:rPr/>
        <w:t>Proportion of capacity held for own use</w:t>
      </w:r>
    </w:p>
    <w:p>
      <w:pPr>
        <w:pStyle w:val="Footer"/>
        <w:numPr>
          <w:ilvl w:val="0"/>
          <w:numId w:val="2"/>
        </w:numPr>
        <w:spacing w:before="0" w:after="240"/>
        <w:rPr/>
      </w:pPr>
      <w:r>
        <w:rPr/>
        <w:t>Unsubscribed capacity, or capacity for which contracts will end within the next year.</w:t>
      </w:r>
    </w:p>
    <w:p>
      <w:pPr>
        <w:pStyle w:val="Footer"/>
        <w:numPr>
          <w:ilvl w:val="0"/>
          <w:numId w:val="2"/>
        </w:numPr>
        <w:spacing w:before="0" w:after="240"/>
        <w:rPr/>
      </w:pPr>
      <w:r>
        <w:rPr/>
        <w:t>Discounting</w:t>
      </w:r>
    </w:p>
    <w:p>
      <w:pPr>
        <w:pStyle w:val="Footer"/>
        <w:numPr>
          <w:ilvl w:val="0"/>
          <w:numId w:val="3"/>
        </w:numPr>
        <w:spacing w:before="0" w:after="240"/>
        <w:rPr/>
      </w:pPr>
      <w:r>
        <w:rPr/>
        <w:t>Detailed customer list (similar to FERC Index of Customers) for firm storage service, by storage location</w:t>
      </w:r>
    </w:p>
    <w:p>
      <w:pPr>
        <w:pStyle w:val="Footer"/>
        <w:numPr>
          <w:ilvl w:val="0"/>
          <w:numId w:val="2"/>
        </w:numPr>
        <w:spacing w:before="0" w:after="240"/>
        <w:rPr/>
      </w:pPr>
      <w:r>
        <w:rPr/>
        <w:t>List of customers with contracts for one year or more</w:t>
      </w:r>
    </w:p>
    <w:p>
      <w:pPr>
        <w:pStyle w:val="Footer"/>
        <w:numPr>
          <w:ilvl w:val="0"/>
          <w:numId w:val="2"/>
        </w:numPr>
        <w:spacing w:before="0" w:after="240"/>
        <w:rPr/>
      </w:pPr>
      <w:r>
        <w:rPr/>
        <w:t>Capacity under contract for each customer</w:t>
      </w:r>
    </w:p>
    <w:p>
      <w:pPr>
        <w:pStyle w:val="Footer"/>
        <w:numPr>
          <w:ilvl w:val="0"/>
          <w:numId w:val="2"/>
        </w:numPr>
        <w:spacing w:before="0" w:after="240"/>
        <w:rPr/>
      </w:pPr>
      <w:r>
        <w:rPr/>
        <w:t>List of contract receipt and delivery points (GISB or city/county/state) for customer</w:t>
      </w:r>
    </w:p>
    <w:p>
      <w:pPr>
        <w:pStyle w:val="Footer"/>
        <w:numPr>
          <w:ilvl w:val="0"/>
          <w:numId w:val="2"/>
        </w:numPr>
        <w:spacing w:before="0" w:after="240"/>
        <w:rPr/>
      </w:pPr>
      <w:r>
        <w:rPr/>
        <w:t>Type of service</w:t>
      </w:r>
    </w:p>
    <w:p>
      <w:pPr>
        <w:pStyle w:val="Footer"/>
        <w:numPr>
          <w:ilvl w:val="0"/>
          <w:numId w:val="2"/>
        </w:numPr>
        <w:spacing w:before="0" w:after="240"/>
        <w:rPr/>
      </w:pPr>
      <w:r>
        <w:rPr/>
        <w:t>Length of contract</w:t>
      </w:r>
    </w:p>
    <w:p>
      <w:pPr>
        <w:pStyle w:val="Footer"/>
        <w:numPr>
          <w:ilvl w:val="0"/>
          <w:numId w:val="2"/>
        </w:numPr>
        <w:spacing w:before="0" w:after="240"/>
        <w:rPr/>
      </w:pPr>
      <w:r>
        <w:rPr/>
        <w:t>Tariff terms, if applicable</w:t>
      </w:r>
    </w:p>
    <w:p>
      <w:pPr>
        <w:pStyle w:val="Footer"/>
        <w:numPr>
          <w:ilvl w:val="0"/>
          <w:numId w:val="2"/>
        </w:numPr>
        <w:spacing w:before="0" w:after="240"/>
        <w:rPr/>
      </w:pPr>
      <w:r>
        <w:rPr/>
        <w:t>Secondary customers being served under capacity release</w:t>
      </w:r>
    </w:p>
    <w:p>
      <w:pPr>
        <w:pStyle w:val="Heading2"/>
        <w:ind w:hanging="0" w:start="0"/>
        <w:rPr/>
      </w:pPr>
      <w:r>
        <w:rPr/>
        <w:t>Delivery to Electric Generating Stations</w:t>
      </w:r>
    </w:p>
    <w:p>
      <w:pPr>
        <w:pStyle w:val="Footer"/>
        <w:numPr>
          <w:ilvl w:val="0"/>
          <w:numId w:val="3"/>
        </w:numPr>
        <w:spacing w:before="0" w:after="240"/>
        <w:rPr/>
      </w:pPr>
      <w:r>
        <w:rPr/>
        <w:t>Name and location of existing electric generating facilities (utility, merchant, IPP or industrial) served directly off Enron’s natural gas pipelines (or via LDCs, if available)</w:t>
      </w:r>
    </w:p>
    <w:p>
      <w:pPr>
        <w:pStyle w:val="Footer"/>
        <w:numPr>
          <w:ilvl w:val="0"/>
          <w:numId w:val="3"/>
        </w:numPr>
        <w:spacing w:before="0" w:after="240"/>
        <w:rPr/>
      </w:pPr>
      <w:r>
        <w:rPr/>
        <w:t>List of interconnections to other fuel suppliers (i.e., alternative suppliers) for each generating facility identified.</w:t>
      </w:r>
    </w:p>
    <w:p>
      <w:pPr>
        <w:pStyle w:val="Footer"/>
        <w:numPr>
          <w:ilvl w:val="0"/>
          <w:numId w:val="3"/>
        </w:numPr>
        <w:spacing w:before="0" w:after="240"/>
        <w:rPr/>
      </w:pPr>
      <w:r>
        <w:rPr/>
        <w:t>Two years of actual physical natural gas deliveries to each of the generating facilities identified.</w:t>
      </w:r>
    </w:p>
    <w:p>
      <w:pPr>
        <w:pStyle w:val="Footer"/>
        <w:numPr>
          <w:ilvl w:val="0"/>
          <w:numId w:val="3"/>
        </w:numPr>
        <w:spacing w:before="0" w:after="240"/>
        <w:rPr/>
      </w:pPr>
      <w:r>
        <w:rPr/>
        <w:t>Identification of alternative pipelines not actually connected to each plant (especially important for sole source plants).  If available, an estimate of the distance of the alternative, non-connected pipelines, and an estimate of the costs of interconnection.</w:t>
      </w:r>
    </w:p>
    <w:p>
      <w:pPr>
        <w:pStyle w:val="Footer"/>
        <w:numPr>
          <w:ilvl w:val="0"/>
          <w:numId w:val="3"/>
        </w:numPr>
        <w:spacing w:before="0" w:after="240"/>
        <w:rPr/>
      </w:pPr>
      <w:r>
        <w:rPr/>
        <w:t>Name and location of planned electric generating facilities to be served by Enron pipelines.</w:t>
      </w:r>
    </w:p>
    <w:p>
      <w:pPr>
        <w:pStyle w:val="Heading2"/>
        <w:ind w:hanging="0" w:start="0"/>
        <w:rPr/>
      </w:pPr>
      <w:r>
        <w:rPr/>
        <w:t>Firm Transportation Rights on Natural Gas Pipelines</w:t>
      </w:r>
    </w:p>
    <w:p>
      <w:pPr>
        <w:pStyle w:val="Footer"/>
        <w:numPr>
          <w:ilvl w:val="0"/>
          <w:numId w:val="3"/>
        </w:numPr>
        <w:spacing w:before="0" w:after="240"/>
        <w:rPr/>
      </w:pPr>
      <w:r>
        <w:rPr/>
        <w:t>A list of applicants’ natural gas transportation holdings of firm transportation rights on natural gas pipelines, by pipeline</w:t>
      </w:r>
    </w:p>
    <w:p>
      <w:pPr>
        <w:pStyle w:val="Footer"/>
        <w:numPr>
          <w:ilvl w:val="0"/>
          <w:numId w:val="2"/>
        </w:numPr>
        <w:spacing w:before="0" w:after="240"/>
        <w:rPr/>
      </w:pPr>
      <w:r>
        <w:rPr/>
        <w:t>Receipt and delivery point</w:t>
      </w:r>
    </w:p>
    <w:p>
      <w:pPr>
        <w:pStyle w:val="Footer"/>
        <w:numPr>
          <w:ilvl w:val="0"/>
          <w:numId w:val="2"/>
        </w:numPr>
        <w:spacing w:before="0" w:after="240"/>
        <w:rPr/>
      </w:pPr>
      <w:r>
        <w:rPr/>
        <w:t xml:space="preserve">Duration of contract </w:t>
      </w:r>
    </w:p>
    <w:p>
      <w:pPr>
        <w:pStyle w:val="Footer"/>
        <w:numPr>
          <w:ilvl w:val="0"/>
          <w:numId w:val="2"/>
        </w:numPr>
        <w:spacing w:before="0" w:after="240"/>
        <w:rPr/>
      </w:pPr>
      <w:r>
        <w:rPr/>
        <w:t>Rollover/evergreen rights</w:t>
      </w:r>
    </w:p>
    <w:p>
      <w:pPr>
        <w:pStyle w:val="Footer"/>
        <w:numPr>
          <w:ilvl w:val="0"/>
          <w:numId w:val="2"/>
        </w:numPr>
        <w:spacing w:before="0" w:after="240"/>
        <w:rPr/>
      </w:pPr>
      <w:r>
        <w:rPr/>
        <w:t>Rights on pipelines that ultimately serve owned-generation or tolling arrangements.</w:t>
      </w:r>
    </w:p>
    <w:p>
      <w:pPr>
        <w:pStyle w:val="Footer"/>
        <w:numPr>
          <w:ilvl w:val="0"/>
          <w:numId w:val="2"/>
        </w:numPr>
        <w:spacing w:before="0" w:after="240"/>
        <w:rPr/>
      </w:pPr>
      <w:r>
        <w:rPr/>
        <w:t>Capacity release acquired and terms</w:t>
      </w:r>
    </w:p>
    <w:sectPr>
      <w:headerReference w:type="default" r:id="rId2"/>
      <w:headerReference w:type="first" r:id="rId3"/>
      <w:footerReference w:type="default" r:id="rId4"/>
      <w:footerReference w:type="first" r:id="rId5"/>
      <w:type w:val="nextPage"/>
      <w:pgSz w:w="12240" w:h="15840"/>
      <w:pgMar w:left="1440" w:right="1440" w:gutter="0" w:header="432" w:top="1440"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300"/>
      <w:ind w:start="-90" w:end="0"/>
      <w:rPr/>
    </w:pPr>
    <w:r>
      <w:rPr/>
      <w:drawing>
        <wp:inline distT="0" distB="0" distL="0" distR="0">
          <wp:extent cx="306705" cy="30226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9306" t="9369" r="8369" b="8431"/>
                  <a:stretch>
                    <a:fillRect/>
                  </a:stretch>
                </pic:blipFill>
                <pic:spPr bwMode="auto">
                  <a:xfrm>
                    <a:off x="0" y="0"/>
                    <a:ext cx="306705" cy="302260"/>
                  </a:xfrm>
                  <a:prstGeom prst="rect">
                    <a:avLst/>
                  </a:prstGeom>
                  <a:noFill/>
                  <a:ln w="9525">
                    <a:solidFill>
                      <a:srgbClr val="000000"/>
                    </a:solidFill>
                  </a:ln>
                </pic:spPr>
              </pic:pic>
            </a:graphicData>
          </a:graphic>
        </wp:inline>
      </w:drawing>
    </w:r>
    <w:r>
      <mc:AlternateContent>
        <mc:Choice Requires="wps">
          <w:drawing>
            <wp:anchor behindDoc="0" distT="0" distB="0" distL="114300" distR="114300" simplePos="0" locked="0" layoutInCell="0" allowOverlap="1" relativeHeight="8">
              <wp:simplePos x="0" y="0"/>
              <wp:positionH relativeFrom="page">
                <wp:posOffset>4090670</wp:posOffset>
              </wp:positionH>
              <wp:positionV relativeFrom="page">
                <wp:posOffset>9053195</wp:posOffset>
              </wp:positionV>
              <wp:extent cx="2842895" cy="440055"/>
              <wp:effectExtent l="0" t="0" r="0" b="0"/>
              <wp:wrapSquare wrapText="bothSides"/>
              <wp:docPr id="2" name="Frame2"/>
              <a:graphic xmlns:a="http://schemas.openxmlformats.org/drawingml/2006/main">
                <a:graphicData uri="http://schemas.microsoft.com/office/word/2010/wordprocessingShape">
                  <wps:wsp>
                    <wps:cNvSpPr txBox="1"/>
                    <wps:spPr>
                      <a:xfrm>
                        <a:off x="0" y="0"/>
                        <a:ext cx="2842895" cy="440055"/>
                      </a:xfrm>
                      <a:prstGeom prst="rect"/>
                      <a:solidFill>
                        <a:srgbClr val="FFFFFF">
                          <a:alpha val="0"/>
                        </a:srgbClr>
                      </a:solidFill>
                    </wps:spPr>
                    <wps:txbx>
                      <w:txbxContent>
                        <w:tbl>
                          <w:tblPr>
                            <w:tblW w:w="5000" w:type="pct"/>
                            <w:jc w:val="start"/>
                            <w:tblInd w:w="108" w:type="dxa"/>
                            <w:tblLayout w:type="fixed"/>
                            <w:tblCellMar>
                              <w:top w:w="0" w:type="dxa"/>
                              <w:start w:w="108" w:type="dxa"/>
                              <w:bottom w:w="0" w:type="dxa"/>
                              <w:end w:w="108" w:type="dxa"/>
                            </w:tblCellMar>
                          </w:tblPr>
                          <w:tblGrid>
                            <w:gridCol w:w="4477"/>
                          </w:tblGrid>
                          <w:tr>
                            <w:trPr/>
                            <w:tc>
                              <w:tcPr>
                                <w:tcW w:w="4477" w:type="dxa"/>
                                <w:tcBorders/>
                              </w:tcPr>
                              <w:p>
                                <w:pPr>
                                  <w:pStyle w:val="Disclaim1"/>
                                  <w:rPr/>
                                </w:pPr>
                                <w:r>
                                  <w:rPr/>
                                  <w:t>Privileged and Confidential</w:t>
                                </w:r>
                              </w:p>
                            </w:tc>
                          </w:tr>
                          <w:tr>
                            <w:trPr/>
                            <w:tc>
                              <w:tcPr>
                                <w:tcW w:w="4477" w:type="dxa"/>
                                <w:tcBorders/>
                              </w:tcPr>
                              <w:p>
                                <w:pPr>
                                  <w:pStyle w:val="Disclaim2"/>
                                  <w:rPr/>
                                </w:pPr>
                                <w:r>
                                  <w:rPr/>
                                  <w:t>Prepared at the Request of Counsel</w:t>
                                </w:r>
                              </w:p>
                            </w:tc>
                          </w:tr>
                          <w:tr>
                            <w:trPr/>
                            <w:tc>
                              <w:tcPr>
                                <w:tcW w:w="4477" w:type="dxa"/>
                                <w:tcBorders/>
                              </w:tcPr>
                              <w:p>
                                <w:pPr>
                                  <w:pStyle w:val="Disclaim3"/>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Privileged and Confidential</w:t>
                                </w:r>
                              </w:p>
                              <w:p>
                                <w:pPr>
                                  <w:pStyle w:val="Disclaim3"/>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Prepared at The Request of Counsel</w:t>
                                </w:r>
                              </w:p>
                            </w:tc>
                          </w:tr>
                          <w:tr>
                            <w:trPr/>
                            <w:tc>
                              <w:tcPr>
                                <w:tcW w:w="4477" w:type="dxa"/>
                                <w:tcBorders/>
                              </w:tcPr>
                              <w:p>
                                <w:pPr>
                                  <w:pStyle w:val="Disclaim4"/>
                                  <w:snapToGrid w:val="false"/>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tc>
                          </w:tr>
                        </w:tbl>
                      </w:txbxContent>
                    </wps:txbx>
                    <wps:bodyPr anchor="t" lIns="0" tIns="0" rIns="0" bIns="0">
                      <a:noAutofit/>
                    </wps:bodyPr>
                  </wps:wsp>
                </a:graphicData>
              </a:graphic>
            </wp:anchor>
          </w:drawing>
        </mc:Choice>
        <mc:Fallback>
          <w:pict>
            <v:rect fillcolor="#FFFFFF" style="position:absolute;rotation:-0;width:223.85pt;height:34.65pt;mso-wrap-distance-left:9pt;mso-wrap-distance-right:9pt;mso-wrap-distance-top:0pt;mso-wrap-distance-bottom:0pt;margin-top:712.85pt;mso-position-vertical-relative:page;margin-left:322.1pt;mso-position-horizontal-relative:page">
              <v:fill opacity="0f"/>
              <v:textbox inset="0in,0in,0in,0in">
                <w:txbxContent>
                  <w:tbl>
                    <w:tblPr>
                      <w:tblW w:w="5000" w:type="pct"/>
                      <w:jc w:val="start"/>
                      <w:tblInd w:w="108" w:type="dxa"/>
                      <w:tblLayout w:type="fixed"/>
                      <w:tblCellMar>
                        <w:top w:w="0" w:type="dxa"/>
                        <w:start w:w="108" w:type="dxa"/>
                        <w:bottom w:w="0" w:type="dxa"/>
                        <w:end w:w="108" w:type="dxa"/>
                      </w:tblCellMar>
                    </w:tblPr>
                    <w:tblGrid>
                      <w:gridCol w:w="4477"/>
                    </w:tblGrid>
                    <w:tr>
                      <w:trPr/>
                      <w:tc>
                        <w:tcPr>
                          <w:tcW w:w="4477" w:type="dxa"/>
                          <w:tcBorders/>
                        </w:tcPr>
                        <w:p>
                          <w:pPr>
                            <w:pStyle w:val="Disclaim1"/>
                            <w:rPr/>
                          </w:pPr>
                          <w:r>
                            <w:rPr/>
                            <w:t>Privileged and Confidential</w:t>
                          </w:r>
                        </w:p>
                      </w:tc>
                    </w:tr>
                    <w:tr>
                      <w:trPr/>
                      <w:tc>
                        <w:tcPr>
                          <w:tcW w:w="4477" w:type="dxa"/>
                          <w:tcBorders/>
                        </w:tcPr>
                        <w:p>
                          <w:pPr>
                            <w:pStyle w:val="Disclaim2"/>
                            <w:rPr/>
                          </w:pPr>
                          <w:r>
                            <w:rPr/>
                            <w:t>Prepared at the Request of Counsel</w:t>
                          </w:r>
                        </w:p>
                      </w:tc>
                    </w:tr>
                    <w:tr>
                      <w:trPr/>
                      <w:tc>
                        <w:tcPr>
                          <w:tcW w:w="4477" w:type="dxa"/>
                          <w:tcBorders/>
                        </w:tcPr>
                        <w:p>
                          <w:pPr>
                            <w:pStyle w:val="Disclaim3"/>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Privileged and Confidential</w:t>
                          </w:r>
                        </w:p>
                        <w:p>
                          <w:pPr>
                            <w:pStyle w:val="Disclaim3"/>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Prepared at The Request of Counsel</w:t>
                          </w:r>
                        </w:p>
                      </w:tc>
                    </w:tr>
                    <w:tr>
                      <w:trPr/>
                      <w:tc>
                        <w:tcPr>
                          <w:tcW w:w="4477" w:type="dxa"/>
                          <w:tcBorders/>
                        </w:tcPr>
                        <w:p>
                          <w:pPr>
                            <w:pStyle w:val="Disclaim4"/>
                            <w:snapToGrid w:val="false"/>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tc>
                    </w:tr>
                  </w:tbl>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300"/>
      <w:ind w:firstLine="360" w:start="0" w:end="0"/>
      <w:rPr/>
    </w:pPr>
    <w:r>
      <w:rPr/>
      <w:drawing>
        <wp:inline distT="0" distB="0" distL="0" distR="0">
          <wp:extent cx="306705" cy="3022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9306" t="9369" r="8369" b="8431"/>
                  <a:stretch>
                    <a:fillRect/>
                  </a:stretch>
                </pic:blipFill>
                <pic:spPr bwMode="auto">
                  <a:xfrm>
                    <a:off x="0" y="0"/>
                    <a:ext cx="306705" cy="302260"/>
                  </a:xfrm>
                  <a:prstGeom prst="rect">
                    <a:avLst/>
                  </a:prstGeom>
                  <a:noFill/>
                  <a:ln w="9525">
                    <a:solidFill>
                      <a:srgbClr val="000000"/>
                    </a:solidFill>
                  </a:ln>
                </pic:spPr>
              </pic:pic>
            </a:graphicData>
          </a:graphic>
        </wp:inline>
      </w:drawing>
    </w:r>
    <w:r>
      <mc:AlternateContent>
        <mc:Choice Requires="wps">
          <w:drawing>
            <wp:anchor behindDoc="0" distT="0" distB="0" distL="114300" distR="114300" simplePos="0" locked="0" layoutInCell="0" allowOverlap="1" relativeHeight="2">
              <wp:simplePos x="0" y="0"/>
              <wp:positionH relativeFrom="page">
                <wp:posOffset>4123690</wp:posOffset>
              </wp:positionH>
              <wp:positionV relativeFrom="page">
                <wp:posOffset>9147175</wp:posOffset>
              </wp:positionV>
              <wp:extent cx="2842895" cy="146685"/>
              <wp:effectExtent l="0" t="0" r="0" b="0"/>
              <wp:wrapSquare wrapText="bothSides"/>
              <wp:docPr id="4" name="Frame1"/>
              <a:graphic xmlns:a="http://schemas.openxmlformats.org/drawingml/2006/main">
                <a:graphicData uri="http://schemas.microsoft.com/office/word/2010/wordprocessingShape">
                  <wps:wsp>
                    <wps:cNvSpPr txBox="1"/>
                    <wps:spPr>
                      <a:xfrm>
                        <a:off x="0" y="0"/>
                        <a:ext cx="2842895" cy="146685"/>
                      </a:xfrm>
                      <a:prstGeom prst="rect"/>
                      <a:solidFill>
                        <a:srgbClr val="FFFFFF">
                          <a:alpha val="0"/>
                        </a:srgbClr>
                      </a:solidFill>
                    </wps:spPr>
                    <wps:txbx>
                      <w:txbxContent>
                        <w:tbl>
                          <w:tblPr>
                            <w:tblW w:w="5000" w:type="pct"/>
                            <w:jc w:val="start"/>
                            <w:tblInd w:w="108" w:type="dxa"/>
                            <w:tblLayout w:type="fixed"/>
                            <w:tblCellMar>
                              <w:top w:w="0" w:type="dxa"/>
                              <w:start w:w="108" w:type="dxa"/>
                              <w:bottom w:w="0" w:type="dxa"/>
                              <w:end w:w="108" w:type="dxa"/>
                            </w:tblCellMar>
                          </w:tblPr>
                          <w:tblGrid>
                            <w:gridCol w:w="4477"/>
                          </w:tblGrid>
                          <w:tr>
                            <w:trPr/>
                            <w:tc>
                              <w:tcPr>
                                <w:tcW w:w="4477" w:type="dxa"/>
                                <w:tcBorders/>
                              </w:tcPr>
                              <w:p>
                                <w:pPr>
                                  <w:pStyle w:val="Disclaim1"/>
                                  <w:rPr>
                                    <w:rFonts w:ascii="Times New Roman" w:hAnsi="Times New Roman" w:cs="Times New Roman"/>
                                    <w:b/>
                                    <w:bCs/>
                                    <w:sz w:val="20"/>
                                  </w:rPr>
                                </w:pPr>
                                <w:r>
                                  <w:rPr>
                                    <w:rFonts w:cs="Times New Roman" w:ascii="Times New Roman" w:hAnsi="Times New Roman"/>
                                    <w:b/>
                                    <w:bCs/>
                                    <w:sz w:val="20"/>
                                  </w:rPr>
                                  <w:t>Privileged and Confidential</w:t>
                                </w:r>
                              </w:p>
                            </w:tc>
                          </w:tr>
                          <w:tr>
                            <w:trPr/>
                            <w:tc>
                              <w:tcPr>
                                <w:tcW w:w="4477" w:type="dxa"/>
                                <w:tcBorders/>
                              </w:tcPr>
                              <w:p>
                                <w:pPr>
                                  <w:pStyle w:val="Disclaim2"/>
                                  <w:rPr>
                                    <w:rFonts w:ascii="Times New Roman" w:hAnsi="Times New Roman" w:cs="Times New Roman"/>
                                    <w:b/>
                                    <w:bCs/>
                                    <w:sz w:val="20"/>
                                  </w:rPr>
                                </w:pPr>
                                <w:r>
                                  <w:rPr>
                                    <w:rFonts w:cs="Times New Roman" w:ascii="Times New Roman" w:hAnsi="Times New Roman"/>
                                    <w:b/>
                                    <w:bCs/>
                                    <w:sz w:val="20"/>
                                  </w:rPr>
                                  <w:t>Prepared at the Request of Counsel</w:t>
                                </w:r>
                              </w:p>
                            </w:tc>
                          </w:tr>
                          <w:tr>
                            <w:trPr/>
                            <w:tc>
                              <w:tcPr>
                                <w:tcW w:w="4477" w:type="dxa"/>
                                <w:tcBorders/>
                              </w:tcPr>
                              <w:p>
                                <w:pPr>
                                  <w:pStyle w:val="Disclaim3"/>
                                  <w:snapToGrid w:val="false"/>
                                  <w:rPr>
                                    <w:rFonts w:ascii="Times New Roman" w:hAnsi="Times New Roman" w:cs="Times New Roman"/>
                                    <w:b/>
                                    <w:bCs/>
                                    <w:sz w:val="20"/>
                                  </w:rPr>
                                </w:pPr>
                                <w:r>
                                  <w:rPr>
                                    <w:rFonts w:cs="Times New Roman" w:ascii="Times New Roman" w:hAnsi="Times New Roman"/>
                                    <w:b/>
                                    <w:bCs/>
                                    <w:sz w:val="20"/>
                                  </w:rPr>
                                </w:r>
                              </w:p>
                            </w:tc>
                          </w:tr>
                        </w:tbl>
                      </w:txbxContent>
                    </wps:txbx>
                    <wps:bodyPr anchor="t" lIns="0" tIns="0" rIns="0" bIns="0">
                      <a:noAutofit/>
                    </wps:bodyPr>
                  </wps:wsp>
                </a:graphicData>
              </a:graphic>
            </wp:anchor>
          </w:drawing>
        </mc:Choice>
        <mc:Fallback>
          <w:pict>
            <v:rect fillcolor="#FFFFFF" style="position:absolute;rotation:-0;width:223.85pt;height:11.55pt;mso-wrap-distance-left:9pt;mso-wrap-distance-right:9pt;mso-wrap-distance-top:0pt;mso-wrap-distance-bottom:0pt;margin-top:720.25pt;mso-position-vertical-relative:page;margin-left:324.7pt;mso-position-horizontal-relative:page">
              <v:fill opacity="0f"/>
              <v:textbox inset="0in,0in,0in,0in">
                <w:txbxContent>
                  <w:tbl>
                    <w:tblPr>
                      <w:tblW w:w="5000" w:type="pct"/>
                      <w:jc w:val="start"/>
                      <w:tblInd w:w="108" w:type="dxa"/>
                      <w:tblLayout w:type="fixed"/>
                      <w:tblCellMar>
                        <w:top w:w="0" w:type="dxa"/>
                        <w:start w:w="108" w:type="dxa"/>
                        <w:bottom w:w="0" w:type="dxa"/>
                        <w:end w:w="108" w:type="dxa"/>
                      </w:tblCellMar>
                    </w:tblPr>
                    <w:tblGrid>
                      <w:gridCol w:w="4477"/>
                    </w:tblGrid>
                    <w:tr>
                      <w:trPr/>
                      <w:tc>
                        <w:tcPr>
                          <w:tcW w:w="4477" w:type="dxa"/>
                          <w:tcBorders/>
                        </w:tcPr>
                        <w:p>
                          <w:pPr>
                            <w:pStyle w:val="Disclaim1"/>
                            <w:rPr>
                              <w:rFonts w:ascii="Times New Roman" w:hAnsi="Times New Roman" w:cs="Times New Roman"/>
                              <w:b/>
                              <w:bCs/>
                              <w:sz w:val="20"/>
                            </w:rPr>
                          </w:pPr>
                          <w:r>
                            <w:rPr>
                              <w:rFonts w:cs="Times New Roman" w:ascii="Times New Roman" w:hAnsi="Times New Roman"/>
                              <w:b/>
                              <w:bCs/>
                              <w:sz w:val="20"/>
                            </w:rPr>
                            <w:t>Privileged and Confidential</w:t>
                          </w:r>
                        </w:p>
                      </w:tc>
                    </w:tr>
                    <w:tr>
                      <w:trPr/>
                      <w:tc>
                        <w:tcPr>
                          <w:tcW w:w="4477" w:type="dxa"/>
                          <w:tcBorders/>
                        </w:tcPr>
                        <w:p>
                          <w:pPr>
                            <w:pStyle w:val="Disclaim2"/>
                            <w:rPr>
                              <w:rFonts w:ascii="Times New Roman" w:hAnsi="Times New Roman" w:cs="Times New Roman"/>
                              <w:b/>
                              <w:bCs/>
                              <w:sz w:val="20"/>
                            </w:rPr>
                          </w:pPr>
                          <w:r>
                            <w:rPr>
                              <w:rFonts w:cs="Times New Roman" w:ascii="Times New Roman" w:hAnsi="Times New Roman"/>
                              <w:b/>
                              <w:bCs/>
                              <w:sz w:val="20"/>
                            </w:rPr>
                            <w:t>Prepared at the Request of Counsel</w:t>
                          </w:r>
                        </w:p>
                      </w:tc>
                    </w:tr>
                    <w:tr>
                      <w:trPr/>
                      <w:tc>
                        <w:tcPr>
                          <w:tcW w:w="4477" w:type="dxa"/>
                          <w:tcBorders/>
                        </w:tcPr>
                        <w:p>
                          <w:pPr>
                            <w:pStyle w:val="Disclaim3"/>
                            <w:snapToGrid w:val="false"/>
                            <w:rPr>
                              <w:rFonts w:ascii="Times New Roman" w:hAnsi="Times New Roman" w:cs="Times New Roman"/>
                              <w:b/>
                              <w:bCs/>
                              <w:sz w:val="20"/>
                            </w:rPr>
                          </w:pPr>
                          <w:r>
                            <w:rPr>
                              <w:rFonts w:cs="Times New Roman" w:ascii="Times New Roman" w:hAnsi="Times New Roman"/>
                              <w:b/>
                              <w:bCs/>
                              <w:sz w:val="20"/>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8298"/>
      <w:gridCol w:w="1278"/>
    </w:tblGrid>
    <w:tr>
      <w:trPr>
        <w:trHeight w:val="240" w:hRule="exact"/>
      </w:trPr>
      <w:tc>
        <w:tcPr>
          <w:tcW w:w="8298" w:type="dxa"/>
          <w:tcBorders/>
        </w:tcPr>
        <w:p>
          <w:pPr>
            <w:pStyle w:val="HeaderCRA"/>
            <w:snapToGrid w:val="false"/>
            <w:rPr/>
          </w:pPr>
          <w:r>
            <w:rPr/>
          </w:r>
        </w:p>
      </w:tc>
      <w:tc>
        <w:tcPr>
          <w:tcW w:w="1278" w:type="dxa"/>
          <w:tcBorders/>
        </w:tcPr>
        <w:p>
          <w:pPr>
            <w:pStyle w:val="HeaderCRA"/>
            <w:rPr>
              <w:lang w:val="fr-FR"/>
            </w:rPr>
          </w:pPr>
          <w:r>
            <w:rPr>
              <w:lang w:val="fr-FR"/>
            </w:rPr>
            <w:t>Charles</w:t>
          </w:r>
        </w:p>
      </w:tc>
    </w:tr>
    <w:tr>
      <w:trPr>
        <w:trHeight w:val="240" w:hRule="exact"/>
      </w:trPr>
      <w:tc>
        <w:tcPr>
          <w:tcW w:w="8298" w:type="dxa"/>
          <w:tcBorders/>
        </w:tcPr>
        <w:p>
          <w:pPr>
            <w:pStyle w:val="HeaderCRA"/>
            <w:snapToGrid w:val="false"/>
            <w:rPr>
              <w:lang w:val="fr-FR"/>
            </w:rPr>
          </w:pPr>
          <w:r>
            <w:rPr>
              <w:lang w:val="fr-FR"/>
            </w:rPr>
          </w:r>
        </w:p>
      </w:tc>
      <w:tc>
        <w:tcPr>
          <w:tcW w:w="1278" w:type="dxa"/>
          <w:tcBorders/>
        </w:tcPr>
        <w:p>
          <w:pPr>
            <w:pStyle w:val="HeaderCRA"/>
            <w:rPr>
              <w:lang w:val="fr-FR"/>
            </w:rPr>
          </w:pPr>
          <w:r>
            <w:rPr>
              <w:lang w:val="fr-FR"/>
            </w:rPr>
            <w:t>River</w:t>
          </w:r>
        </w:p>
      </w:tc>
    </w:tr>
    <w:tr>
      <w:trPr>
        <w:trHeight w:val="240" w:hRule="exact"/>
      </w:trPr>
      <w:tc>
        <w:tcPr>
          <w:tcW w:w="8298" w:type="dxa"/>
          <w:tcBorders/>
        </w:tcPr>
        <w:p>
          <w:pPr>
            <w:pStyle w:val="HeaderCRA"/>
            <w:snapToGrid w:val="false"/>
            <w:rPr>
              <w:lang w:val="fr-FR"/>
            </w:rPr>
          </w:pPr>
          <w:r>
            <w:rPr>
              <w:lang w:val="fr-FR"/>
            </w:rPr>
          </w:r>
        </w:p>
      </w:tc>
      <w:tc>
        <w:tcPr>
          <w:tcW w:w="1278" w:type="dxa"/>
          <w:tcBorders/>
        </w:tcPr>
        <w:p>
          <w:pPr>
            <w:pStyle w:val="HeaderCRA"/>
            <w:rPr>
              <w:lang w:val="fr-FR"/>
            </w:rPr>
          </w:pPr>
          <w:r>
            <w:rPr>
              <w:lang w:val="fr-FR"/>
            </w:rPr>
            <w:t>Associates</w:t>
          </w:r>
        </w:p>
      </w:tc>
    </w:tr>
    <w:tr>
      <w:trPr/>
      <w:tc>
        <w:tcPr>
          <w:tcW w:w="8298" w:type="dxa"/>
          <w:tcBorders/>
        </w:tcPr>
        <w:p>
          <w:pPr>
            <w:pStyle w:val="Header"/>
            <w:rPr>
              <w:lang w:val="fr-FR"/>
            </w:rPr>
          </w:pPr>
          <w:r>
            <w:rPr>
              <w:lang w:val="fr-FR"/>
            </w:rPr>
            <w:t>Data Request for Competition Analysis</w:t>
          </w:r>
        </w:p>
      </w:tc>
      <w:tc>
        <w:tcPr>
          <w:tcW w:w="1278" w:type="dxa"/>
          <w:tcBorders/>
        </w:tcPr>
        <w:p>
          <w:pPr>
            <w:pStyle w:val="HeaderCRA"/>
            <w:snapToGrid w:val="false"/>
            <w:rPr>
              <w:lang w:val="fr-FR"/>
            </w:rPr>
          </w:pPr>
          <w:r>
            <w:rPr>
              <w:lang w:val="fr-FR"/>
            </w:rPr>
          </w:r>
        </w:p>
      </w:tc>
    </w:tr>
    <w:tr>
      <w:trPr/>
      <w:tc>
        <w:tcPr>
          <w:tcW w:w="8298" w:type="dxa"/>
          <w:tcBorders/>
        </w:tcPr>
        <w:p>
          <w:pPr>
            <w:pStyle w:val="Header"/>
            <w:rPr/>
          </w:pPr>
          <w:r>
            <w:rPr/>
            <w:t xml:space="preserve">Page </w:t>
          </w:r>
          <w:r>
            <w:rPr/>
            <w:fldChar w:fldCharType="begin"/>
          </w:r>
          <w:r>
            <w:rPr/>
            <w:instrText xml:space="preserve"> PAGE </w:instrText>
          </w:r>
          <w:r>
            <w:rPr/>
            <w:fldChar w:fldCharType="separate"/>
          </w:r>
          <w:r>
            <w:rPr/>
            <w:t>6</w:t>
          </w:r>
          <w:r>
            <w:rPr/>
            <w:fldChar w:fldCharType="end"/>
          </w:r>
        </w:p>
      </w:tc>
      <w:tc>
        <w:tcPr>
          <w:tcW w:w="1278" w:type="dxa"/>
          <w:tcBorders/>
        </w:tcPr>
        <w:p>
          <w:pPr>
            <w:pStyle w:val="HeaderCRA"/>
            <w:snapToGrid w:val="false"/>
            <w:rPr/>
          </w:pPr>
          <w:r>
            <w:rPr/>
          </w:r>
        </w:p>
      </w:tc>
    </w:tr>
  </w:tbl>
  <w:p>
    <w:pPr>
      <w:pStyle w:val="HeaderCRA"/>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7848"/>
      <w:gridCol w:w="1710"/>
    </w:tblGrid>
    <w:tr>
      <w:trPr>
        <w:trHeight w:val="240" w:hRule="exact"/>
      </w:trPr>
      <w:tc>
        <w:tcPr>
          <w:tcW w:w="7848" w:type="dxa"/>
          <w:tcBorders/>
        </w:tcPr>
        <w:p>
          <w:pPr>
            <w:pStyle w:val="Header"/>
            <w:tabs>
              <w:tab w:val="clear" w:pos="8640"/>
              <w:tab w:val="clear" w:pos="9000"/>
              <w:tab w:val="center" w:pos="4320" w:leader="none"/>
            </w:tabs>
            <w:snapToGrid w:val="false"/>
            <w:rPr/>
          </w:pPr>
          <w:r>
            <w:rPr/>
          </w:r>
        </w:p>
      </w:tc>
      <w:tc>
        <w:tcPr>
          <w:tcW w:w="1710" w:type="dxa"/>
          <w:tcBorders/>
        </w:tcPr>
        <w:p>
          <w:pPr>
            <w:pStyle w:val="HeaderCRA"/>
            <w:rPr/>
          </w:pPr>
          <w:r>
            <w:rPr/>
            <w:t>Charles</w:t>
          </w:r>
        </w:p>
      </w:tc>
    </w:tr>
    <w:tr>
      <w:trPr>
        <w:trHeight w:val="240" w:hRule="exact"/>
      </w:trPr>
      <w:tc>
        <w:tcPr>
          <w:tcW w:w="7848" w:type="dxa"/>
          <w:tcBorders/>
        </w:tcPr>
        <w:p>
          <w:pPr>
            <w:pStyle w:val="Header"/>
            <w:snapToGrid w:val="false"/>
            <w:rPr/>
          </w:pPr>
          <w:r>
            <w:rPr/>
          </w:r>
        </w:p>
      </w:tc>
      <w:tc>
        <w:tcPr>
          <w:tcW w:w="1710" w:type="dxa"/>
          <w:tcBorders/>
        </w:tcPr>
        <w:p>
          <w:pPr>
            <w:pStyle w:val="HeaderCRA"/>
            <w:rPr/>
          </w:pPr>
          <w:r>
            <w:rPr/>
            <w:t>River</w:t>
          </w:r>
        </w:p>
      </w:tc>
    </w:tr>
    <w:tr>
      <w:trPr>
        <w:trHeight w:val="240" w:hRule="exact"/>
      </w:trPr>
      <w:tc>
        <w:tcPr>
          <w:tcW w:w="7848" w:type="dxa"/>
          <w:tcBorders/>
        </w:tcPr>
        <w:p>
          <w:pPr>
            <w:pStyle w:val="Header"/>
            <w:snapToGrid w:val="false"/>
            <w:rPr/>
          </w:pPr>
          <w:r>
            <w:rPr/>
          </w:r>
        </w:p>
      </w:tc>
      <w:tc>
        <w:tcPr>
          <w:tcW w:w="1710" w:type="dxa"/>
          <w:tcBorders/>
        </w:tcPr>
        <w:p>
          <w:pPr>
            <w:pStyle w:val="HeaderCRA"/>
            <w:rPr/>
          </w:pPr>
          <w:r>
            <w:rPr/>
            <w:t>Associates</w:t>
          </w:r>
        </w:p>
        <w:p>
          <w:pPr>
            <w:pStyle w:val="HeaderCRA"/>
            <w:rPr/>
          </w:pPr>
          <w:r>
            <w:rPr/>
          </w:r>
        </w:p>
      </w:tc>
    </w:tr>
    <w:tr>
      <w:trPr>
        <w:trHeight w:val="240" w:hRule="exact"/>
      </w:trPr>
      <w:tc>
        <w:tcPr>
          <w:tcW w:w="7848" w:type="dxa"/>
          <w:tcBorders/>
        </w:tcPr>
        <w:p>
          <w:pPr>
            <w:pStyle w:val="Header"/>
            <w:snapToGrid w:val="false"/>
            <w:rPr>
              <w:b/>
            </w:rPr>
          </w:pPr>
          <w:r>
            <w:rPr>
              <w:b/>
            </w:rPr>
          </w:r>
        </w:p>
      </w:tc>
      <w:tc>
        <w:tcPr>
          <w:tcW w:w="1710" w:type="dxa"/>
          <w:tcBorders/>
        </w:tcPr>
        <w:p>
          <w:pPr>
            <w:pStyle w:val="HeaderCRA"/>
            <w:rPr/>
          </w:pPr>
          <w:r>
            <w:rPr/>
            <w:t>Incorporated</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360" w:firstLine="360"/>
      </w:pPr>
      <w:rPr>
        <w:rFonts w:ascii="Symbol" w:hAnsi="Symbol" w:cs="Symbol" w:hint="default"/>
        <w:color w:val="000000"/>
      </w:rPr>
    </w:lvl>
    <w:lvl w:ilvl="1">
      <w:start w:val="1"/>
      <w:numFmt w:val="bullet"/>
      <w:lvlText w:val="o"/>
      <w:lvlJc w:val="start"/>
      <w:pPr>
        <w:tabs>
          <w:tab w:val="num" w:pos="360"/>
        </w:tabs>
        <w:ind w:start="360" w:hanging="360"/>
      </w:pPr>
      <w:rPr>
        <w:rFonts w:ascii="Courier New" w:hAnsi="Courier New" w:cs="Courier New"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o"/>
      <w:lvlJc w:val="start"/>
      <w:pPr>
        <w:tabs>
          <w:tab w:val="num" w:pos="2520"/>
        </w:tabs>
        <w:ind w:start="2520" w:hanging="360"/>
      </w:pPr>
      <w:rPr>
        <w:rFonts w:ascii="Courier New" w:hAnsi="Courier New" w:cs="Courier New" w:hint="default"/>
      </w:rPr>
    </w:lvl>
    <w:lvl w:ilvl="5">
      <w:start w:val="1"/>
      <w:numFmt w:val="bullet"/>
      <w:lvlText w:val=""/>
      <w:lvlJc w:val="start"/>
      <w:pPr>
        <w:tabs>
          <w:tab w:val="num" w:pos="3240"/>
        </w:tabs>
        <w:ind w:start="3240" w:hanging="360"/>
      </w:pPr>
      <w:rPr>
        <w:rFonts w:ascii="Wingdings" w:hAnsi="Wingdings" w:cs="Wingdings" w:hint="default"/>
      </w:rPr>
    </w:lvl>
    <w:lvl w:ilvl="6">
      <w:start w:val="1"/>
      <w:numFmt w:val="bullet"/>
      <w:lvlText w:val=""/>
      <w:lvlJc w:val="start"/>
      <w:pPr>
        <w:tabs>
          <w:tab w:val="num" w:pos="3960"/>
        </w:tabs>
        <w:ind w:start="3960" w:hanging="360"/>
      </w:pPr>
      <w:rPr>
        <w:rFonts w:ascii="Symbol" w:hAnsi="Symbol" w:cs="Symbol" w:hint="default"/>
      </w:rPr>
    </w:lvl>
    <w:lvl w:ilvl="7">
      <w:start w:val="1"/>
      <w:numFmt w:val="bullet"/>
      <w:lvlText w:val="o"/>
      <w:lvlJc w:val="start"/>
      <w:pPr>
        <w:tabs>
          <w:tab w:val="num" w:pos="4680"/>
        </w:tabs>
        <w:ind w:start="4680" w:hanging="360"/>
      </w:pPr>
      <w:rPr>
        <w:rFonts w:ascii="Courier New" w:hAnsi="Courier New" w:cs="Courier New" w:hint="default"/>
      </w:rPr>
    </w:lvl>
    <w:lvl w:ilvl="8">
      <w:start w:val="1"/>
      <w:numFmt w:val="bullet"/>
      <w:lvlText w:val=""/>
      <w:lvlJc w:val="start"/>
      <w:pPr>
        <w:tabs>
          <w:tab w:val="num" w:pos="5400"/>
        </w:tabs>
        <w:ind w:start="540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next w:val="BodyText"/>
    <w:qFormat/>
    <w:pPr>
      <w:keepNext w:val="true"/>
      <w:widowControl/>
      <w:numPr>
        <w:ilvl w:val="0"/>
        <w:numId w:val="1"/>
      </w:numPr>
      <w:bidi w:val="0"/>
      <w:spacing w:before="120" w:after="120"/>
      <w:outlineLvl w:val="0"/>
    </w:pPr>
    <w:rPr>
      <w:rFonts w:ascii="Times New Roman Bold;Times New Roman" w:hAnsi="Times New Roman Bold;Times New Roman" w:eastAsia="Times New Roman" w:cs="Times New Roman Bold;Times New Roman"/>
      <w:b/>
      <w:color w:val="auto"/>
      <w:sz w:val="24"/>
      <w:szCs w:val="20"/>
      <w:lang w:val="en-US" w:bidi="ar-SA" w:eastAsia="zh-CN"/>
    </w:rPr>
  </w:style>
  <w:style w:type="paragraph" w:styleId="Heading2">
    <w:name w:val="heading 2"/>
    <w:basedOn w:val="Heading1"/>
    <w:next w:val="BodyText"/>
    <w:qFormat/>
    <w:pPr>
      <w:numPr>
        <w:ilvl w:val="1"/>
        <w:numId w:val="1"/>
      </w:numPr>
      <w:outlineLvl w:val="1"/>
    </w:pPr>
    <w:rPr>
      <w:b w:val="false"/>
    </w:rPr>
  </w:style>
  <w:style w:type="paragraph" w:styleId="Heading3">
    <w:name w:val="heading 3"/>
    <w:basedOn w:val="Heading2"/>
    <w:next w:val="BodyText"/>
    <w:qFormat/>
    <w:pPr>
      <w:numPr>
        <w:ilvl w:val="2"/>
        <w:numId w:val="1"/>
      </w:numPr>
      <w:outlineLvl w:val="2"/>
    </w:pPr>
    <w:rPr>
      <w:rFonts w:ascii="Times New Roman" w:hAnsi="Times New Roman" w:cs="Times New Roman"/>
      <w:b/>
    </w:rPr>
  </w:style>
  <w:style w:type="paragraph" w:styleId="Heading4">
    <w:name w:val="heading 4"/>
    <w:basedOn w:val="Normal"/>
    <w:next w:val="Normal"/>
    <w:qFormat/>
    <w:pPr>
      <w:keepNext w:val="true"/>
      <w:numPr>
        <w:ilvl w:val="3"/>
        <w:numId w:val="1"/>
      </w:numPr>
      <w:jc w:val="both"/>
      <w:outlineLvl w:val="3"/>
    </w:pPr>
    <w:rPr>
      <w:rFonts w:ascii="Arial" w:hAnsi="Arial" w:cs="Arial"/>
      <w:b/>
      <w:spacing w:val="-2"/>
      <w:sz w:val="22"/>
    </w:rPr>
  </w:style>
  <w:style w:type="paragraph" w:styleId="Heading5">
    <w:name w:val="heading 5"/>
    <w:basedOn w:val="Normal"/>
    <w:next w:val="Normal"/>
    <w:qFormat/>
    <w:pPr>
      <w:keepNext w:val="true"/>
      <w:numPr>
        <w:ilvl w:val="4"/>
        <w:numId w:val="1"/>
      </w:numPr>
      <w:jc w:val="both"/>
      <w:outlineLvl w:val="4"/>
    </w:pPr>
    <w:rPr>
      <w:rFonts w:ascii="Arial" w:hAnsi="Arial" w:cs="Arial"/>
      <w:b/>
      <w:i/>
      <w:spacing w:val="-2"/>
      <w:sz w:val="22"/>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CommentReference">
    <w:name w:val="Comment Reference"/>
    <w:basedOn w:val="DefaultParagraphFont"/>
    <w:qFormat/>
    <w:rPr>
      <w:sz w:val="16"/>
    </w:rPr>
  </w:style>
  <w:style w:type="paragraph" w:styleId="Heading">
    <w:name w:val="Heading"/>
    <w:basedOn w:val="Heading1"/>
    <w:next w:val="BodyText"/>
    <w:qFormat/>
    <w:pPr>
      <w:numPr>
        <w:ilvl w:val="0"/>
        <w:numId w:val="0"/>
      </w:numPr>
      <w:spacing w:before="0" w:after="120"/>
      <w:outlineLvl w:val="9"/>
    </w:pPr>
    <w:rPr/>
  </w:style>
  <w:style w:type="paragraph" w:styleId="BodyText">
    <w:name w:val="Body Text"/>
    <w:pPr>
      <w:widowControl/>
      <w:bidi w:val="0"/>
      <w:spacing w:before="0" w:after="300"/>
    </w:pPr>
    <w:rPr>
      <w:rFonts w:ascii="Times New Roman" w:hAnsi="Times New Roman" w:eastAsia="Times New Roman" w:cs="Times New Roman"/>
      <w:color w:val="auto"/>
      <w:sz w:val="24"/>
      <w:szCs w:val="20"/>
      <w:lang w:val="en-US" w:bidi="ar-SA" w:eastAsia="zh-CN"/>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next w:val="BodyText"/>
    <w:qFormat/>
    <w:pPr>
      <w:widowControl w:val="false"/>
      <w:spacing w:before="0" w:after="480"/>
    </w:pPr>
    <w:rPr>
      <w:b/>
      <w:caps/>
    </w:rPr>
  </w:style>
  <w:style w:type="paragraph" w:styleId="Date">
    <w:name w:val="Date"/>
    <w:basedOn w:val="Normal"/>
    <w:qFormat/>
    <w:pPr/>
    <w:rPr/>
  </w:style>
  <w:style w:type="paragraph" w:styleId="To">
    <w:name w:val="To"/>
    <w:basedOn w:val="Normal"/>
    <w:next w:val="Normal"/>
    <w:qFormat/>
    <w:pPr>
      <w:spacing w:before="0" w:after="260"/>
    </w:pPr>
    <w:rPr/>
  </w:style>
  <w:style w:type="paragraph" w:styleId="From">
    <w:name w:val="From"/>
    <w:basedOn w:val="Normal"/>
    <w:qFormat/>
    <w:pPr>
      <w:spacing w:before="0" w:after="0"/>
    </w:pPr>
    <w:rPr/>
  </w:style>
  <w:style w:type="paragraph" w:styleId="Closed">
    <w:name w:val="Closed"/>
    <w:basedOn w:val="Normal"/>
    <w:qFormat/>
    <w:pPr>
      <w:spacing w:before="0" w:after="0"/>
    </w:pPr>
    <w:rPr/>
  </w:style>
  <w:style w:type="paragraph" w:styleId="CC">
    <w:name w:val="CC"/>
    <w:basedOn w:val="Normal"/>
    <w:next w:val="BodyText"/>
    <w:qFormat/>
    <w:pPr>
      <w:tabs>
        <w:tab w:val="clear" w:pos="720"/>
        <w:tab w:val="left" w:pos="504" w:leader="none"/>
      </w:tabs>
      <w:spacing w:before="0" w:after="0"/>
    </w:pPr>
    <w:rPr/>
  </w:style>
  <w:style w:type="paragraph" w:styleId="CRANo">
    <w:name w:val="CRA_No"/>
    <w:basedOn w:val="Normal"/>
    <w:qFormat/>
    <w:pPr>
      <w:spacing w:before="0" w:after="0"/>
    </w:pPr>
    <w:rPr/>
  </w:style>
  <w:style w:type="paragraph" w:styleId="Distribution">
    <w:name w:val="Distribution"/>
    <w:basedOn w:val="Normal"/>
    <w:qFormat/>
    <w:pPr/>
    <w:rPr/>
  </w:style>
  <w:style w:type="paragraph" w:styleId="MEMORANDUM">
    <w:name w:val="MEMORANDUM"/>
    <w:basedOn w:val="Normal"/>
    <w:qFormat/>
    <w:pPr>
      <w:spacing w:before="0" w:after="0"/>
    </w:pPr>
    <w:rPr>
      <w:b/>
    </w:rPr>
  </w:style>
  <w:style w:type="paragraph" w:styleId="Footer">
    <w:name w:val="footer"/>
    <w:basedOn w:val="BodyText"/>
    <w:pPr>
      <w:tabs>
        <w:tab w:val="clear" w:pos="720"/>
        <w:tab w:val="center" w:pos="4320" w:leader="none"/>
        <w:tab w:val="right" w:pos="8640" w:leader="none"/>
      </w:tabs>
      <w:ind w:firstLine="360" w:start="0" w:end="0"/>
    </w:pPr>
    <w:rPr/>
  </w:style>
  <w:style w:type="paragraph" w:styleId="Bullet1">
    <w:name w:val="Bullet 1"/>
    <w:basedOn w:val="BodyText"/>
    <w:qFormat/>
    <w:pPr>
      <w:numPr>
        <w:ilvl w:val="0"/>
        <w:numId w:val="4"/>
      </w:numPr>
      <w:spacing w:before="0" w:after="280"/>
      <w:ind w:hanging="360" w:start="720" w:end="0"/>
    </w:pPr>
    <w:rPr/>
  </w:style>
  <w:style w:type="paragraph" w:styleId="HeaderCRA">
    <w:name w:val="Header CRA"/>
    <w:basedOn w:val="Header"/>
    <w:next w:val="Header"/>
    <w:qFormat/>
    <w:pPr/>
    <w:rPr>
      <w:rFonts w:ascii="Arial Narrow" w:hAnsi="Arial Narrow" w:cs="Arial Narrow"/>
      <w:b/>
    </w:rPr>
  </w:style>
  <w:style w:type="paragraph" w:styleId="Disclaim1">
    <w:name w:val="Disclaim1"/>
    <w:qFormat/>
    <w:pPr>
      <w:widowControl w:val="false"/>
      <w:bidi w:val="0"/>
      <w:jc w:val="end"/>
    </w:pPr>
    <w:rPr>
      <w:rFonts w:ascii="Arial" w:hAnsi="Arial" w:eastAsia="Times New Roman" w:cs="Arial"/>
      <w:smallCaps/>
      <w:vanish/>
      <w:color w:val="auto"/>
      <w:sz w:val="24"/>
      <w:szCs w:val="20"/>
      <w:lang w:val="en-US" w:eastAsia="en-CA" w:bidi="ar-SA"/>
    </w:rPr>
  </w:style>
  <w:style w:type="paragraph" w:styleId="Disclaim2">
    <w:name w:val="Disclaim2"/>
    <w:qFormat/>
    <w:pPr>
      <w:widowControl w:val="false"/>
      <w:bidi w:val="0"/>
      <w:jc w:val="end"/>
    </w:pPr>
    <w:rPr>
      <w:rFonts w:ascii="Arial" w:hAnsi="Arial" w:eastAsia="Times New Roman" w:cs="Arial"/>
      <w:smallCaps/>
      <w:vanish/>
      <w:color w:val="auto"/>
      <w:sz w:val="24"/>
      <w:szCs w:val="20"/>
      <w:lang w:val="en-US" w:eastAsia="en-CA" w:bidi="ar-SA"/>
    </w:rPr>
  </w:style>
  <w:style w:type="paragraph" w:styleId="Disclaim3">
    <w:name w:val="Disclaim3"/>
    <w:qFormat/>
    <w:pPr>
      <w:widowControl/>
      <w:bidi w:val="0"/>
      <w:jc w:val="end"/>
    </w:pPr>
    <w:rPr>
      <w:rFonts w:ascii="Arial" w:hAnsi="Arial" w:eastAsia="Times New Roman" w:cs="Arial"/>
      <w:smallCaps/>
      <w:color w:val="auto"/>
      <w:sz w:val="24"/>
      <w:szCs w:val="20"/>
      <w:lang w:val="en-US" w:eastAsia="en-CA" w:bidi="ar-SA"/>
    </w:rPr>
  </w:style>
  <w:style w:type="paragraph" w:styleId="Disclaim4">
    <w:name w:val="Disclaim4"/>
    <w:qFormat/>
    <w:pPr>
      <w:widowControl w:val="false"/>
      <w:bidi w:val="0"/>
      <w:jc w:val="end"/>
    </w:pPr>
    <w:rPr>
      <w:rFonts w:ascii="Arial" w:hAnsi="Arial" w:eastAsia="Times New Roman" w:cs="Arial"/>
      <w:smallCaps/>
      <w:color w:val="auto"/>
      <w:sz w:val="24"/>
      <w:szCs w:val="20"/>
      <w:lang w:val="en-US" w:eastAsia="en-CA" w:bidi="ar-SA"/>
    </w:rPr>
  </w:style>
  <w:style w:type="paragraph" w:styleId="Bullet2">
    <w:name w:val="Bullet 2"/>
    <w:basedOn w:val="BodyText"/>
    <w:qFormat/>
    <w:pPr>
      <w:numPr>
        <w:ilvl w:val="0"/>
        <w:numId w:val="5"/>
      </w:numPr>
      <w:spacing w:before="0" w:after="280"/>
      <w:ind w:hanging="360" w:start="1080" w:end="0"/>
    </w:pPr>
    <w:rPr/>
  </w:style>
  <w:style w:type="paragraph" w:styleId="Bullet3">
    <w:name w:val="Bullet 3"/>
    <w:basedOn w:val="BodyText"/>
    <w:qFormat/>
    <w:pPr>
      <w:numPr>
        <w:ilvl w:val="0"/>
        <w:numId w:val="6"/>
      </w:numPr>
      <w:spacing w:before="0" w:after="280"/>
      <w:ind w:hanging="360" w:start="1440" w:end="0"/>
    </w:pPr>
    <w:rPr/>
  </w:style>
  <w:style w:type="paragraph" w:styleId="FormText">
    <w:name w:val="Form Text"/>
    <w:basedOn w:val="BodyText"/>
    <w:qFormat/>
    <w:pPr>
      <w:widowControl w:val="false"/>
      <w:spacing w:before="0" w:after="0"/>
    </w:pPr>
    <w:rPr/>
  </w:style>
  <w:style w:type="paragraph" w:styleId="MacroText">
    <w:name w:val="Macro Text"/>
    <w:qFormat/>
    <w:pPr>
      <w:widowControl w:val="false"/>
      <w:tabs>
        <w:tab w:val="left" w:pos="360" w:leader="none"/>
        <w:tab w:val="left" w:pos="720" w:leader="none"/>
      </w:tabs>
      <w:bidi w:val="0"/>
    </w:pPr>
    <w:rPr>
      <w:rFonts w:ascii="Courier New" w:hAnsi="Courier New" w:eastAsia="Times New Roman" w:cs="Courier New"/>
      <w:color w:val="auto"/>
      <w:sz w:val="20"/>
      <w:szCs w:val="20"/>
      <w:lang w:val="en-US" w:bidi="ar-SA" w:eastAsia="zh-CN"/>
    </w:rPr>
  </w:style>
  <w:style w:type="paragraph" w:styleId="Quote">
    <w:name w:val="Quote"/>
    <w:basedOn w:val="BodyText"/>
    <w:next w:val="BodyText"/>
    <w:qFormat/>
    <w:pPr>
      <w:spacing w:before="0" w:after="280"/>
      <w:ind w:hanging="0" w:start="432" w:end="432"/>
    </w:pPr>
    <w:rPr>
      <w:sz w:val="20"/>
    </w:rPr>
  </w:style>
  <w:style w:type="paragraph" w:styleId="Table">
    <w:name w:val="Table"/>
    <w:qFormat/>
    <w:pPr>
      <w:widowControl/>
      <w:bidi w:val="0"/>
      <w:spacing w:before="60" w:after="60"/>
      <w:jc w:val="end"/>
    </w:pPr>
    <w:rPr>
      <w:rFonts w:ascii="Arial" w:hAnsi="Arial" w:eastAsia="Times New Roman" w:cs="Arial"/>
      <w:color w:val="auto"/>
      <w:sz w:val="20"/>
      <w:szCs w:val="20"/>
      <w:lang w:val="en-US" w:bidi="ar-SA" w:eastAsia="zh-CN"/>
    </w:rPr>
  </w:style>
  <w:style w:type="paragraph" w:styleId="TableCol1">
    <w:name w:val="TableCol1"/>
    <w:basedOn w:val="Table"/>
    <w:qFormat/>
    <w:pPr>
      <w:jc w:val="start"/>
    </w:pPr>
    <w:rPr/>
  </w:style>
  <w:style w:type="paragraph" w:styleId="TableRow1">
    <w:name w:val="TableRow1"/>
    <w:basedOn w:val="Table"/>
    <w:qFormat/>
    <w:pPr>
      <w:keepNext w:val="true"/>
      <w:jc w:val="center"/>
    </w:pPr>
    <w:rPr>
      <w:b/>
    </w:rPr>
  </w:style>
  <w:style w:type="paragraph" w:styleId="TblSource">
    <w:name w:val="TblSource"/>
    <w:next w:val="BodyText"/>
    <w:qFormat/>
    <w:pPr>
      <w:widowControl/>
      <w:bidi w:val="0"/>
      <w:spacing w:lineRule="auto" w:line="264" w:before="260" w:after="260"/>
    </w:pPr>
    <w:rPr>
      <w:rFonts w:ascii="Arial" w:hAnsi="Arial" w:eastAsia="Times New Roman" w:cs="Arial"/>
      <w:color w:val="auto"/>
      <w:sz w:val="20"/>
      <w:szCs w:val="20"/>
      <w:lang w:val="en-US" w:bidi="ar-SA" w:eastAsia="zh-CN"/>
    </w:rPr>
  </w:style>
  <w:style w:type="paragraph" w:styleId="TblTitle">
    <w:name w:val="TblTitle"/>
    <w:next w:val="BodyText"/>
    <w:qFormat/>
    <w:pPr>
      <w:keepNext w:val="true"/>
      <w:widowControl/>
      <w:bidi w:val="0"/>
      <w:spacing w:lineRule="auto" w:line="264" w:before="0" w:after="280"/>
    </w:pPr>
    <w:rPr>
      <w:rFonts w:ascii="Arial" w:hAnsi="Arial" w:eastAsia="Times New Roman" w:cs="Arial"/>
      <w:b/>
      <w:color w:val="auto"/>
      <w:sz w:val="20"/>
      <w:szCs w:val="20"/>
      <w:lang w:val="en-US" w:bidi="ar-SA" w:eastAsia="zh-CN"/>
    </w:rPr>
  </w:style>
  <w:style w:type="paragraph" w:styleId="Other">
    <w:name w:val="Other"/>
    <w:basedOn w:val="Disclaim4"/>
    <w:qFormat/>
    <w:pPr/>
    <w:rPr/>
  </w:style>
  <w:style w:type="paragraph" w:styleId="CommentText">
    <w:name w:val="Comment Text"/>
    <w:basedOn w:val="Normal"/>
    <w:qFormat/>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word/_rels/foot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2001-11-16T00:53:00Z</dcterms:created>
  <dc:creator>Julie Solomon</dc:creator>
  <dc:description/>
  <cp:keywords>ver 11/29/92</cp:keywords>
  <dc:language>en-CA</dc:language>
  <cp:lastModifiedBy>Julie Solomon</cp:lastModifiedBy>
  <cp:lastPrinted>1994-07-01T13:34:00Z</cp:lastPrinted>
  <dcterms:modified xsi:type="dcterms:W3CDTF">2001-11-16T19:37:00Z</dcterms:modified>
  <cp:revision>8</cp:revision>
  <dc:subject>Client correspondence memo</dc:subject>
  <dc:title>CRA Memorandum form</dc:title>
</cp:coreProperties>
</file>