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ENRON RISK ASSESSMENT AND CONTROL</w:t>
      </w:r>
    </w:p>
    <w:p>
      <w:pPr>
        <w:pStyle w:val="Heading6"/>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DEAL APPROVAL SHEET</w:t>
      </w:r>
    </w:p>
    <w:p>
      <w:pPr>
        <w:pStyle w:val="Normal"/>
        <w:tabs>
          <w:tab w:val="clear" w:pos="720"/>
          <w:tab w:val="left" w:pos="360" w:leader="none"/>
        </w:tabs>
        <w:rPr>
          <w:rFonts w:ascii="Times New Roman" w:hAnsi="Times New Roman" w:cs="Times New Roman"/>
        </w:rPr>
      </w:pPr>
      <w:r>
        <w:rPr>
          <w:rFonts w:cs="Times New Roman"/>
        </w:rPr>
      </w:r>
    </w:p>
    <w:tbl>
      <w:tblPr>
        <w:tblW w:w="10350" w:type="dxa"/>
        <w:jc w:val="start"/>
        <w:tblInd w:w="18" w:type="dxa"/>
        <w:tblLayout w:type="fixed"/>
        <w:tblCellMar>
          <w:top w:w="0" w:type="dxa"/>
          <w:start w:w="108" w:type="dxa"/>
          <w:bottom w:w="0" w:type="dxa"/>
          <w:end w:w="108" w:type="dxa"/>
        </w:tblCellMar>
      </w:tblPr>
      <w:tblGrid>
        <w:gridCol w:w="4950"/>
        <w:gridCol w:w="5400"/>
      </w:tblGrid>
      <w:tr>
        <w:trPr>
          <w:trHeight w:val="1708" w:hRule="atLeast"/>
        </w:trPr>
        <w:tc>
          <w:tcPr>
            <w:tcW w:w="4950" w:type="dxa"/>
            <w:tcBorders>
              <w:top w:val="single" w:sz="8" w:space="0" w:color="000000"/>
              <w:bottom w:val="single" w:sz="8" w:space="0" w:color="000000"/>
            </w:tcBorders>
          </w:tcPr>
          <w:p>
            <w:pPr>
              <w:pStyle w:val="Normal"/>
              <w:tabs>
                <w:tab w:val="clear" w:pos="720"/>
                <w:tab w:val="left" w:pos="360" w:leader="none"/>
              </w:tabs>
              <w:ind w:end="792"/>
              <w:rPr>
                <w:b/>
                <w:bCs/>
              </w:rPr>
            </w:pPr>
            <w:r>
              <w:rPr>
                <w:b/>
                <w:bCs/>
              </w:rPr>
              <w:t>DEAL NAME:  Pastoria V - Development</w:t>
            </w:r>
          </w:p>
          <w:p>
            <w:pPr>
              <w:pStyle w:val="Normal"/>
              <w:tabs>
                <w:tab w:val="clear" w:pos="720"/>
                <w:tab w:val="left" w:pos="360" w:leader="none"/>
              </w:tabs>
              <w:ind w:end="792"/>
              <w:rPr/>
            </w:pPr>
            <w:r>
              <w:rPr/>
              <w:t>Counterparty:  Pastoria Energy Facility LLC</w:t>
            </w:r>
          </w:p>
          <w:p>
            <w:pPr>
              <w:pStyle w:val="Normal"/>
              <w:tabs>
                <w:tab w:val="clear" w:pos="720"/>
                <w:tab w:val="left" w:pos="360" w:leader="none"/>
              </w:tabs>
              <w:ind w:end="792"/>
              <w:rPr/>
            </w:pPr>
            <w:r>
              <w:rPr/>
              <w:t>Business Unit:  ENA West Origination</w:t>
            </w:r>
          </w:p>
          <w:p>
            <w:pPr>
              <w:pStyle w:val="Normal"/>
              <w:tabs>
                <w:tab w:val="clear" w:pos="720"/>
                <w:tab w:val="left" w:pos="360" w:leader="none"/>
              </w:tabs>
              <w:rPr/>
            </w:pPr>
            <w:r>
              <w:rPr/>
              <w:t>Business Unit Originator:  David Parquet</w:t>
            </w:r>
          </w:p>
          <w:p>
            <w:pPr>
              <w:pStyle w:val="Normal"/>
              <w:tabs>
                <w:tab w:val="clear" w:pos="720"/>
                <w:tab w:val="left" w:pos="1530" w:leader="none"/>
              </w:tabs>
              <w:rPr/>
            </w:pPr>
            <w:r>
              <w:rPr/>
              <w:t></w:t>
            </w:r>
            <w:r>
              <w:rPr/>
              <w:t>Public</w:t>
              <w:tab/>
              <w:t>Private</w:t>
            </w:r>
          </w:p>
          <w:p>
            <w:pPr>
              <w:pStyle w:val="Normal"/>
              <w:tabs>
                <w:tab w:val="clear" w:pos="720"/>
                <w:tab w:val="left" w:pos="1530" w:leader="none"/>
              </w:tabs>
              <w:ind w:end="-738"/>
              <w:rPr/>
            </w:pPr>
            <w:r>
              <w:rPr/>
              <w:t></w:t>
            </w:r>
            <w:r>
              <w:rPr/>
              <w:t>Merchant</w:t>
              <w:tab/>
              <w:t>Strategic</w:t>
            </w:r>
          </w:p>
          <w:p>
            <w:pPr>
              <w:pStyle w:val="Normal"/>
              <w:tabs>
                <w:tab w:val="clear" w:pos="720"/>
                <w:tab w:val="left" w:pos="360" w:leader="none"/>
              </w:tabs>
              <w:ind w:end="-738"/>
              <w:rPr/>
            </w:pPr>
            <w:r>
              <w:rPr/>
              <w:t></w:t>
            </w:r>
            <w:r>
              <w:rPr/>
              <w:t>Conforming</w:t>
              <w:tab/>
              <w:t>Nonconforming</w:t>
            </w:r>
          </w:p>
        </w:tc>
        <w:tc>
          <w:tcPr>
            <w:tcW w:w="5400" w:type="dxa"/>
            <w:tcBorders>
              <w:top w:val="single" w:sz="8" w:space="0" w:color="000000"/>
              <w:bottom w:val="single" w:sz="8" w:space="0" w:color="000000"/>
            </w:tcBorders>
          </w:tcPr>
          <w:p>
            <w:pPr>
              <w:pStyle w:val="Normal"/>
              <w:tabs>
                <w:tab w:val="clear" w:pos="720"/>
                <w:tab w:val="left" w:pos="360" w:leader="none"/>
              </w:tabs>
              <w:ind w:firstLine="90" w:start="-198" w:end="-738"/>
              <w:rPr/>
            </w:pPr>
            <w:r>
              <w:rPr/>
              <w:t>Date DASH Completed:  March 7, 2001</w:t>
            </w:r>
          </w:p>
          <w:p>
            <w:pPr>
              <w:pStyle w:val="Normal"/>
              <w:tabs>
                <w:tab w:val="clear" w:pos="720"/>
                <w:tab w:val="left" w:pos="360" w:leader="none"/>
              </w:tabs>
              <w:ind w:firstLine="90" w:start="-198" w:end="-1095"/>
              <w:rPr/>
            </w:pPr>
            <w:r>
              <w:rPr/>
              <w:t>RAC Underwriter/Analyst:  Karen Barbour</w:t>
            </w:r>
          </w:p>
          <w:p>
            <w:pPr>
              <w:pStyle w:val="Normal"/>
              <w:tabs>
                <w:tab w:val="clear" w:pos="720"/>
                <w:tab w:val="left" w:pos="360" w:leader="none"/>
              </w:tabs>
              <w:ind w:firstLine="90" w:start="-198" w:end="-738"/>
              <w:rPr/>
            </w:pPr>
            <w:r>
              <w:rPr/>
              <w:t>Transaction Type:  Power Asset Development</w:t>
            </w:r>
          </w:p>
          <w:p>
            <w:pPr>
              <w:pStyle w:val="Normal"/>
              <w:tabs>
                <w:tab w:val="clear" w:pos="720"/>
                <w:tab w:val="left" w:pos="360" w:leader="none"/>
              </w:tabs>
              <w:ind w:firstLine="90" w:start="-198" w:end="-738"/>
              <w:rPr/>
            </w:pPr>
            <w:r>
              <w:rPr/>
              <w:t>Capital Funding Source(s):  Balance Sheet &amp; Off B/S</w:t>
            </w:r>
          </w:p>
          <w:p>
            <w:pPr>
              <w:pStyle w:val="Normal"/>
              <w:tabs>
                <w:tab w:val="clear" w:pos="720"/>
                <w:tab w:val="left" w:pos="360" w:leader="none"/>
              </w:tabs>
              <w:ind w:firstLine="90" w:start="-198" w:end="-738"/>
              <w:rPr/>
            </w:pPr>
            <w:r>
              <w:rPr/>
              <w:t>Option Closing Date:  March 15, 2001</w:t>
            </w:r>
          </w:p>
          <w:p>
            <w:pPr>
              <w:pStyle w:val="Header"/>
              <w:tabs>
                <w:tab w:val="left" w:pos="360" w:leader="none"/>
                <w:tab w:val="left" w:pos="1530" w:leader="none"/>
                <w:tab w:val="center" w:pos="4320" w:leader="none"/>
                <w:tab w:val="right" w:pos="8640" w:leader="none"/>
              </w:tabs>
              <w:ind w:start="-108" w:end="0"/>
              <w:rPr/>
            </w:pPr>
            <w:r>
              <w:rPr/>
              <w:t>Funding Date:  Beginning March 15, 2001</w:t>
            </w:r>
          </w:p>
          <w:p>
            <w:pPr>
              <w:pStyle w:val="Header"/>
              <w:tabs>
                <w:tab w:val="left" w:pos="360" w:leader="none"/>
                <w:tab w:val="left" w:pos="1530" w:leader="none"/>
                <w:tab w:val="center" w:pos="4320" w:leader="none"/>
                <w:tab w:val="right" w:pos="8640" w:leader="none"/>
              </w:tabs>
              <w:ind w:start="-108" w:end="0"/>
              <w:rPr/>
            </w:pPr>
            <w:r>
              <w:rPr/>
              <w:t>Board Approval: Pending  Received  Denied  </w:t>
            </w:r>
            <w:r>
              <w:rPr>
                <w:b/>
                <w:bCs/>
              </w:rPr>
              <w:t xml:space="preserve"> </w:t>
            </w:r>
            <w:r>
              <w:rPr/>
              <w:t>N/A</w:t>
            </w:r>
          </w:p>
        </w:tc>
      </w:tr>
    </w:tbl>
    <w:p>
      <w:pPr>
        <w:pStyle w:val="Header"/>
        <w:widowControl/>
        <w:tabs>
          <w:tab w:val="clear" w:pos="4320"/>
          <w:tab w:val="clear" w:pos="8640"/>
          <w:tab w:val="left" w:pos="360" w:leader="none"/>
        </w:tabs>
        <w:rPr/>
      </w:pPr>
      <w:r>
        <w:rPr/>
        <w:t>RAC Recommendation:</w:t>
        <w:tab/>
        <w:t xml:space="preserve"> Proceed with Transaction </w:t>
        <w:tab/>
        <w:t xml:space="preserve">   Returns Below Capital Price </w:t>
        <w:tab/>
        <w:tab/>
        <w:t xml:space="preserve">  Do not Proceed</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APPROVAL REQUESTED</w:t>
      </w:r>
    </w:p>
    <w:p>
      <w:pPr>
        <w:pStyle w:val="Normal"/>
        <w:numPr>
          <w:ilvl w:val="0"/>
          <w:numId w:val="10"/>
        </w:numPr>
        <w:rPr/>
      </w:pPr>
      <w:r>
        <w:rPr/>
        <w:t>To commit $197.0 to the turbine purchase through TurboPark financing.</w:t>
      </w:r>
    </w:p>
    <w:p>
      <w:pPr>
        <w:pStyle w:val="Normal"/>
        <w:numPr>
          <w:ilvl w:val="0"/>
          <w:numId w:val="10"/>
        </w:numPr>
        <w:rPr/>
      </w:pPr>
      <w:r>
        <w:rPr/>
        <w:t>To submit a binding bid on March 15 to Kern River Pipeline (“Kern”) for a 15-year term, 100,000 MMBtu/day of gas transportation capacity from the primary receipt point at Opal in the Rocky Mountains to the Wheeler Ridge delivery point, backed up by an ENA guarantee of [specify the amount and duration.]</w:t>
      </w:r>
    </w:p>
    <w:p>
      <w:pPr>
        <w:pStyle w:val="Normal"/>
        <w:numPr>
          <w:ilvl w:val="0"/>
          <w:numId w:val="7"/>
        </w:numPr>
        <w:rPr/>
      </w:pPr>
      <w:r>
        <w:rPr/>
        <w:t>To request additional development cost of $1.9 million through May 31, 2001.</w:t>
      </w:r>
    </w:p>
    <w:p>
      <w:pPr>
        <w:pStyle w:val="Normal"/>
        <w:rPr/>
      </w:pPr>
      <w:r>
        <w:rPr/>
      </w:r>
    </w:p>
    <w:tbl>
      <w:tblPr>
        <w:tblW w:w="5490" w:type="dxa"/>
        <w:jc w:val="start"/>
        <w:tblInd w:w="468" w:type="dxa"/>
        <w:tblLayout w:type="fixed"/>
        <w:tblCellMar>
          <w:top w:w="0" w:type="dxa"/>
          <w:start w:w="108" w:type="dxa"/>
          <w:bottom w:w="0" w:type="dxa"/>
          <w:end w:w="108" w:type="dxa"/>
        </w:tblCellMar>
      </w:tblPr>
      <w:tblGrid>
        <w:gridCol w:w="3870"/>
        <w:gridCol w:w="1620"/>
      </w:tblGrid>
      <w:tr>
        <w:trPr/>
        <w:tc>
          <w:tcPr>
            <w:tcW w:w="3870" w:type="dxa"/>
            <w:tcBorders/>
          </w:tcPr>
          <w:p>
            <w:pPr>
              <w:pStyle w:val="Normal"/>
              <w:rPr/>
            </w:pPr>
            <w:r>
              <w:rPr/>
              <w:t>VaR – gas transportation contract</w:t>
            </w:r>
            <w:r>
              <w:rPr>
                <w:b/>
                <w:bCs/>
                <w:vertAlign w:val="superscript"/>
              </w:rPr>
              <w:t>*1</w:t>
            </w:r>
          </w:p>
        </w:tc>
        <w:tc>
          <w:tcPr>
            <w:tcW w:w="1620" w:type="dxa"/>
            <w:tcBorders/>
          </w:tcPr>
          <w:p>
            <w:pPr>
              <w:pStyle w:val="Normal"/>
              <w:jc w:val="end"/>
              <w:rPr/>
            </w:pPr>
            <w:r>
              <w:rPr/>
              <w:t>$34.0 million</w:t>
            </w:r>
          </w:p>
        </w:tc>
      </w:tr>
      <w:tr>
        <w:trPr/>
        <w:tc>
          <w:tcPr>
            <w:tcW w:w="3870" w:type="dxa"/>
            <w:tcBorders/>
          </w:tcPr>
          <w:p>
            <w:pPr>
              <w:pStyle w:val="Normal"/>
              <w:rPr/>
            </w:pPr>
            <w:r>
              <w:rPr/>
              <w:t>Development Cost</w:t>
            </w:r>
          </w:p>
        </w:tc>
        <w:tc>
          <w:tcPr>
            <w:tcW w:w="1620" w:type="dxa"/>
            <w:tcBorders/>
          </w:tcPr>
          <w:p>
            <w:pPr>
              <w:pStyle w:val="Normal"/>
              <w:jc w:val="end"/>
              <w:rPr>
                <w:u w:val="single"/>
              </w:rPr>
            </w:pPr>
            <w:r>
              <w:rPr>
                <w:u w:val="single"/>
              </w:rPr>
              <w:t xml:space="preserve">    </w:t>
            </w:r>
            <w:r>
              <w:rPr>
                <w:u w:val="single"/>
              </w:rPr>
              <w:t>1.9 million</w:t>
            </w:r>
          </w:p>
        </w:tc>
      </w:tr>
      <w:tr>
        <w:trPr/>
        <w:tc>
          <w:tcPr>
            <w:tcW w:w="3870" w:type="dxa"/>
            <w:tcBorders/>
          </w:tcPr>
          <w:p>
            <w:pPr>
              <w:pStyle w:val="Normal"/>
              <w:rPr/>
            </w:pPr>
            <w:r>
              <w:rPr/>
              <w:t>Total Development Cost</w:t>
            </w:r>
          </w:p>
        </w:tc>
        <w:tc>
          <w:tcPr>
            <w:tcW w:w="1620" w:type="dxa"/>
            <w:tcBorders/>
          </w:tcPr>
          <w:p>
            <w:pPr>
              <w:pStyle w:val="Normal"/>
              <w:jc w:val="end"/>
              <w:rPr/>
            </w:pPr>
            <w:r>
              <w:rPr/>
              <w:t>$35.9 million</w:t>
            </w:r>
          </w:p>
        </w:tc>
      </w:tr>
      <w:tr>
        <w:trPr/>
        <w:tc>
          <w:tcPr>
            <w:tcW w:w="3870" w:type="dxa"/>
            <w:tcBorders/>
          </w:tcPr>
          <w:p>
            <w:pPr>
              <w:pStyle w:val="Normal"/>
              <w:rPr/>
            </w:pPr>
            <w:r>
              <w:rPr/>
              <w:t>Remaining Turbine Cost</w:t>
            </w:r>
            <w:r>
              <w:rPr>
                <w:b/>
                <w:bCs/>
                <w:vertAlign w:val="superscript"/>
              </w:rPr>
              <w:t>*2</w:t>
            </w:r>
          </w:p>
        </w:tc>
        <w:tc>
          <w:tcPr>
            <w:tcW w:w="1620" w:type="dxa"/>
            <w:tcBorders/>
          </w:tcPr>
          <w:p>
            <w:pPr>
              <w:pStyle w:val="Normal"/>
              <w:jc w:val="end"/>
              <w:rPr>
                <w:u w:val="single"/>
              </w:rPr>
            </w:pPr>
            <w:r>
              <w:rPr>
                <w:u w:val="single"/>
              </w:rPr>
              <w:t>178.2 million</w:t>
            </w:r>
          </w:p>
        </w:tc>
      </w:tr>
      <w:tr>
        <w:trPr/>
        <w:tc>
          <w:tcPr>
            <w:tcW w:w="3870" w:type="dxa"/>
            <w:tcBorders/>
          </w:tcPr>
          <w:p>
            <w:pPr>
              <w:pStyle w:val="Normal"/>
              <w:rPr/>
            </w:pPr>
            <w:r>
              <w:rPr/>
              <w:t>Total Risk Adjusted Capital</w:t>
            </w:r>
          </w:p>
        </w:tc>
        <w:tc>
          <w:tcPr>
            <w:tcW w:w="1620" w:type="dxa"/>
            <w:tcBorders/>
          </w:tcPr>
          <w:p>
            <w:pPr>
              <w:pStyle w:val="Normal"/>
              <w:jc w:val="end"/>
              <w:rPr>
                <w:u w:val="double"/>
              </w:rPr>
            </w:pPr>
            <w:r>
              <w:rPr>
                <w:u w:val="double"/>
              </w:rPr>
              <w:t>$214.1 million</w:t>
            </w:r>
          </w:p>
        </w:tc>
      </w:tr>
    </w:tbl>
    <w:p>
      <w:pPr>
        <w:pStyle w:val="Normal"/>
        <w:tabs>
          <w:tab w:val="clear" w:pos="720"/>
          <w:tab w:val="left" w:pos="3978" w:leader="none"/>
          <w:tab w:val="left" w:pos="5418" w:leader="none"/>
        </w:tabs>
        <w:ind w:start="468" w:end="0"/>
        <w:rPr/>
      </w:pPr>
      <w:r>
        <w:rPr/>
        <w:tab/>
      </w:r>
    </w:p>
    <w:p>
      <w:pPr>
        <w:pStyle w:val="Normal"/>
        <w:rPr/>
      </w:pPr>
      <w:r>
        <w:rPr>
          <w:b/>
          <w:bCs/>
          <w:vertAlign w:val="superscript"/>
        </w:rPr>
        <w:t>*1</w:t>
      </w:r>
      <w:r>
        <w:rPr/>
        <w:t>:  Represents the value at risk over an estimated 45-day hedging period.</w:t>
      </w:r>
    </w:p>
    <w:p>
      <w:pPr>
        <w:pStyle w:val="Normal"/>
        <w:ind w:hanging="270" w:start="270" w:end="0"/>
        <w:rPr/>
      </w:pPr>
      <w:r>
        <w:rPr>
          <w:b/>
          <w:bCs/>
          <w:vertAlign w:val="superscript"/>
        </w:rPr>
        <w:t>*2</w:t>
      </w:r>
      <w:r>
        <w:rPr/>
        <w:t>:  Progress payments totaling $19.8 million were previously approved and paid.  For the period ending May 31, 2001, progress payments totally $9.9 million is expected to be made.</w:t>
      </w:r>
    </w:p>
    <w:p>
      <w:pPr>
        <w:pStyle w:val="Heading2"/>
        <w:widowControl/>
        <w:pBdr>
          <w:top w:val="single" w:sz="8" w:space="1" w:color="000000"/>
        </w:pBdr>
        <w:tabs>
          <w:tab w:val="clear" w:pos="720"/>
          <w:tab w:val="left" w:pos="360" w:leader="none"/>
        </w:tabs>
        <w:ind w:hanging="0" w:start="0" w:end="-36"/>
        <w:rPr/>
      </w:pPr>
      <w:r>
        <w:rPr/>
        <w:t>EXPOSURE SUMMARY</w:t>
      </w:r>
    </w:p>
    <w:tbl>
      <w:tblPr>
        <w:tblW w:w="5580" w:type="dxa"/>
        <w:jc w:val="start"/>
        <w:tblInd w:w="468" w:type="dxa"/>
        <w:tblLayout w:type="fixed"/>
        <w:tblCellMar>
          <w:top w:w="0" w:type="dxa"/>
          <w:start w:w="108" w:type="dxa"/>
          <w:bottom w:w="0" w:type="dxa"/>
          <w:end w:w="108" w:type="dxa"/>
        </w:tblCellMar>
      </w:tblPr>
      <w:tblGrid>
        <w:gridCol w:w="4050"/>
        <w:gridCol w:w="1530"/>
      </w:tblGrid>
      <w:tr>
        <w:trPr/>
        <w:tc>
          <w:tcPr>
            <w:tcW w:w="4050" w:type="dxa"/>
            <w:tcBorders/>
          </w:tcPr>
          <w:p>
            <w:pPr>
              <w:pStyle w:val="Normal"/>
              <w:rPr/>
            </w:pPr>
            <w:r>
              <w:rPr/>
              <w:t>This Transaction</w:t>
            </w:r>
            <w:r>
              <w:rPr>
                <w:b/>
                <w:bCs/>
                <w:vertAlign w:val="superscript"/>
              </w:rPr>
              <w:t>*3</w:t>
            </w:r>
          </w:p>
        </w:tc>
        <w:tc>
          <w:tcPr>
            <w:tcW w:w="1530" w:type="dxa"/>
            <w:tcBorders/>
          </w:tcPr>
          <w:p>
            <w:pPr>
              <w:pStyle w:val="Normal"/>
              <w:jc w:val="end"/>
              <w:rPr/>
            </w:pPr>
            <w:r>
              <w:rPr/>
              <w:t>$35.9 million</w:t>
            </w:r>
          </w:p>
        </w:tc>
      </w:tr>
      <w:tr>
        <w:trPr/>
        <w:tc>
          <w:tcPr>
            <w:tcW w:w="4050" w:type="dxa"/>
            <w:tcBorders/>
          </w:tcPr>
          <w:p>
            <w:pPr>
              <w:pStyle w:val="Normal"/>
              <w:rPr/>
            </w:pPr>
            <w:r>
              <w:rPr/>
              <w:t>Previously Approved Development Costs</w:t>
            </w:r>
            <w:r>
              <w:rPr>
                <w:b/>
                <w:bCs/>
                <w:vertAlign w:val="superscript"/>
              </w:rPr>
              <w:t>*3</w:t>
            </w:r>
          </w:p>
        </w:tc>
        <w:tc>
          <w:tcPr>
            <w:tcW w:w="1530" w:type="dxa"/>
            <w:tcBorders/>
          </w:tcPr>
          <w:p>
            <w:pPr>
              <w:pStyle w:val="Normal"/>
              <w:jc w:val="end"/>
              <w:rPr>
                <w:u w:val="single"/>
              </w:rPr>
            </w:pPr>
            <w:r>
              <w:rPr>
                <w:u w:val="single"/>
              </w:rPr>
              <w:t>48.3 million</w:t>
            </w:r>
          </w:p>
        </w:tc>
      </w:tr>
      <w:tr>
        <w:trPr/>
        <w:tc>
          <w:tcPr>
            <w:tcW w:w="4050" w:type="dxa"/>
            <w:tcBorders/>
          </w:tcPr>
          <w:p>
            <w:pPr>
              <w:pStyle w:val="Normal"/>
              <w:rPr/>
            </w:pPr>
            <w:r>
              <w:rPr/>
              <w:t>Cumulative Exposure</w:t>
            </w:r>
            <w:r>
              <w:rPr>
                <w:b/>
                <w:bCs/>
                <w:vertAlign w:val="superscript"/>
              </w:rPr>
              <w:t>*3</w:t>
            </w:r>
          </w:p>
        </w:tc>
        <w:tc>
          <w:tcPr>
            <w:tcW w:w="1530" w:type="dxa"/>
            <w:tcBorders/>
          </w:tcPr>
          <w:p>
            <w:pPr>
              <w:pStyle w:val="Normal"/>
              <w:jc w:val="end"/>
              <w:rPr>
                <w:u w:val="double"/>
              </w:rPr>
            </w:pPr>
            <w:r>
              <w:rPr>
                <w:u w:val="double"/>
              </w:rPr>
              <w:t>$84.2 million</w:t>
            </w:r>
          </w:p>
        </w:tc>
      </w:tr>
    </w:tbl>
    <w:p>
      <w:pPr>
        <w:pStyle w:val="Normal"/>
        <w:rPr/>
      </w:pPr>
      <w:r>
        <w:rPr/>
      </w:r>
    </w:p>
    <w:p>
      <w:pPr>
        <w:pStyle w:val="Normal"/>
        <w:rPr/>
      </w:pPr>
      <w:r>
        <w:rPr>
          <w:b/>
          <w:bCs/>
          <w:vertAlign w:val="superscript"/>
        </w:rPr>
        <w:t>*3</w:t>
      </w:r>
      <w:r>
        <w:rPr/>
        <w:t>:  Excluding turbine cost.  See “</w:t>
      </w:r>
      <w:r>
        <w:rPr>
          <w:b/>
          <w:bCs/>
          <w:caps/>
        </w:rPr>
        <w:t>risk matrix</w:t>
      </w:r>
      <w:r>
        <w:rPr>
          <w:b/>
          <w:bCs/>
        </w:rPr>
        <w:t xml:space="preserve">” </w:t>
      </w:r>
      <w:r>
        <w:rPr/>
        <w:t>for further discussion on the turbine purchase exposure. – check the $5 mm contingency.</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 xml:space="preserve">DEAL DESCRIPTION </w:t>
      </w:r>
    </w:p>
    <w:p>
      <w:pPr>
        <w:pStyle w:val="Normal"/>
        <w:numPr>
          <w:ilvl w:val="0"/>
          <w:numId w:val="3"/>
        </w:numPr>
        <w:ind w:hanging="360" w:start="360" w:end="-36"/>
        <w:jc w:val="both"/>
        <w:rPr/>
      </w:pPr>
      <w:r>
        <w:rPr/>
        <w:t xml:space="preserve">ENA previously obtained approvals to develope Pastoria, a limited liability entity through which ENA is developing a 750MW gas-fired power plant (the “Project”) in Kern County, California.  The development phase is essentially completed, with all material state and federal permits obtained.  </w:t>
      </w:r>
    </w:p>
    <w:p>
      <w:pPr>
        <w:pStyle w:val="Normal"/>
        <w:numPr>
          <w:ilvl w:val="0"/>
          <w:numId w:val="3"/>
        </w:numPr>
        <w:ind w:hanging="360" w:start="360" w:end="-36"/>
        <w:jc w:val="both"/>
        <w:rPr/>
      </w:pPr>
      <w:r>
        <w:rPr/>
        <w:t xml:space="preserve">ENA is currently finalizing the negotiation of a Purchase and Sale Agreement (the “PSA”) with Pastoria Energy Center LLC (the “Buyer”), a wholly owned subsidiary of Calpine Corporation, for the sale of 100% interest in the Project.  The PSA is expected to be signed on March 9, 2001 and the closing is expected to occur about 30 days later.  </w:t>
      </w:r>
    </w:p>
    <w:p>
      <w:pPr>
        <w:pStyle w:val="Normal"/>
        <w:numPr>
          <w:ilvl w:val="0"/>
          <w:numId w:val="7"/>
        </w:numPr>
        <w:ind w:hanging="360" w:start="360" w:end="-36"/>
        <w:jc w:val="both"/>
        <w:rPr/>
      </w:pPr>
      <w:r>
        <w:rPr/>
        <w:t>Prior to closing the sale to the Buyer, certain additional development costs need to be deployed in order to keep the Project on track, and to maintain the marketability of the Project should this intended sale not close.  The major upcoming developments include:</w:t>
      </w:r>
    </w:p>
    <w:p>
      <w:pPr>
        <w:pStyle w:val="Normal"/>
        <w:numPr>
          <w:ilvl w:val="0"/>
          <w:numId w:val="9"/>
        </w:numPr>
        <w:ind w:hanging="360" w:start="720" w:end="-36"/>
        <w:jc w:val="both"/>
        <w:rPr/>
      </w:pPr>
      <w:r>
        <w:rPr/>
        <w:t>[turbine commitment or progress payment]</w:t>
      </w:r>
    </w:p>
    <w:p>
      <w:pPr>
        <w:pStyle w:val="Normal"/>
        <w:numPr>
          <w:ilvl w:val="0"/>
          <w:numId w:val="9"/>
        </w:numPr>
        <w:ind w:hanging="360" w:start="720" w:end="-36"/>
        <w:jc w:val="both"/>
        <w:rPr/>
      </w:pPr>
      <w:r>
        <w:rPr/>
        <w:t>Participation in Kern’s open season to bid for a 15-year term, 100,000 MMBtu/day of gas transportation capacity.</w:t>
      </w:r>
    </w:p>
    <w:p>
      <w:pPr>
        <w:pStyle w:val="Normal"/>
        <w:numPr>
          <w:ilvl w:val="0"/>
          <w:numId w:val="7"/>
        </w:numPr>
        <w:ind w:hanging="360" w:start="360" w:end="-36"/>
        <w:jc w:val="both"/>
        <w:rPr/>
      </w:pPr>
      <w:r>
        <w:rPr/>
        <w:t xml:space="preserve">In the event the pending sale to the Buyer does not close by April 30, 2001, ENA plans to continue development of the project through May 31, 2001.  </w:t>
      </w:r>
      <w:r>
        <w:rPr>
          <w:color w:val="000000"/>
        </w:rPr>
        <w:t>During that period, ENA will pursue one or more of the following alternatives:</w:t>
      </w:r>
    </w:p>
    <w:p>
      <w:pPr>
        <w:pStyle w:val="Normal"/>
        <w:numPr>
          <w:ilvl w:val="0"/>
          <w:numId w:val="2"/>
        </w:numPr>
        <w:ind w:hanging="360" w:start="720" w:end="-36"/>
        <w:jc w:val="both"/>
        <w:rPr/>
      </w:pPr>
      <w:r>
        <w:rPr/>
        <w:t>Continue to negotiate a long-term fixed price toll arrangement with California Department of Water Resources and</w:t>
      </w:r>
      <w:r>
        <w:rPr>
          <w:color w:val="000000"/>
        </w:rPr>
        <w:t xml:space="preserve"> concurrently arrange for an EPC Contract and construction financing; </w:t>
      </w:r>
    </w:p>
    <w:p>
      <w:pPr>
        <w:pStyle w:val="Normal"/>
        <w:numPr>
          <w:ilvl w:val="0"/>
          <w:numId w:val="2"/>
        </w:numPr>
        <w:ind w:hanging="360" w:start="720" w:end="-36"/>
        <w:jc w:val="both"/>
        <w:rPr/>
      </w:pPr>
      <w:r>
        <w:rPr>
          <w:color w:val="000000"/>
        </w:rPr>
        <w:t>Continue with the marketing efforts to sell the Project;</w:t>
      </w:r>
    </w:p>
    <w:p>
      <w:pPr>
        <w:pStyle w:val="Normal"/>
        <w:numPr>
          <w:ilvl w:val="0"/>
          <w:numId w:val="2"/>
        </w:numPr>
        <w:ind w:hanging="360" w:start="720" w:end="-36"/>
        <w:jc w:val="both"/>
        <w:rPr/>
      </w:pPr>
      <w:r>
        <w:rPr>
          <w:color w:val="000000"/>
        </w:rPr>
        <w:t>Arrange for an EPC contract and construction financing for a merchant plant.</w:t>
      </w:r>
    </w:p>
    <w:p>
      <w:pPr>
        <w:pStyle w:val="Normal"/>
        <w:numPr>
          <w:ilvl w:val="0"/>
          <w:numId w:val="2"/>
        </w:numPr>
        <w:tabs>
          <w:tab w:val="clear" w:pos="720"/>
          <w:tab w:val="left" w:pos="360" w:leader="none"/>
        </w:tabs>
        <w:ind w:hanging="360" w:start="360" w:end="-36"/>
        <w:jc w:val="both"/>
        <w:rPr/>
      </w:pPr>
      <w:r>
        <w:rPr/>
        <w:t>If none of the above alternatives prove to be viable by May 31, 2001, ENA will have the option to delay the project and redeploy the gas turbines to another Enron project, remarket the emission reduction credits and the gas transportation capacity.  The cumulative development expenses as of May 31, 2001, assuming no recovery on the emission credit cost and a 45-day hedging period for the gas transportation capacity contract, will be about $84.1 million.</w:t>
      </w:r>
      <w:r>
        <w:br w:type="page"/>
      </w:r>
    </w:p>
    <w:p>
      <w:pPr>
        <w:pStyle w:val="BodyTextIndent2"/>
        <w:rPr/>
      </w:pPr>
      <w:r>
        <w:rPr/>
        <w:t>TRANSACTION SOURCES AND USES OF FUNDS ($000)</w:t>
      </w:r>
    </w:p>
    <w:tbl>
      <w:tblPr>
        <w:tblW w:w="9180" w:type="dxa"/>
        <w:jc w:val="start"/>
        <w:tblInd w:w="378" w:type="dxa"/>
        <w:tblLayout w:type="fixed"/>
        <w:tblCellMar>
          <w:top w:w="0" w:type="dxa"/>
          <w:start w:w="108" w:type="dxa"/>
          <w:bottom w:w="0" w:type="dxa"/>
          <w:end w:w="108" w:type="dxa"/>
        </w:tblCellMar>
      </w:tblPr>
      <w:tblGrid>
        <w:gridCol w:w="2700"/>
        <w:gridCol w:w="1440"/>
        <w:gridCol w:w="990"/>
        <w:gridCol w:w="2790"/>
        <w:gridCol w:w="1260"/>
      </w:tblGrid>
      <w:tr>
        <w:trPr>
          <w:trHeight w:val="333" w:hRule="atLeast"/>
        </w:trPr>
        <w:tc>
          <w:tcPr>
            <w:tcW w:w="2700" w:type="dxa"/>
            <w:tcBorders>
              <w:bottom w:val="single" w:sz="4" w:space="0" w:color="000000"/>
            </w:tcBorders>
          </w:tcPr>
          <w:p>
            <w:pPr>
              <w:pStyle w:val="Normal"/>
              <w:snapToGrid w:val="false"/>
              <w:rPr/>
            </w:pPr>
            <w:r>
              <w:rPr/>
            </w:r>
          </w:p>
        </w:tc>
        <w:tc>
          <w:tcPr>
            <w:tcW w:w="1440" w:type="dxa"/>
            <w:tcBorders>
              <w:bottom w:val="single" w:sz="4" w:space="0" w:color="000000"/>
            </w:tcBorders>
          </w:tcPr>
          <w:p>
            <w:pPr>
              <w:pStyle w:val="Normal"/>
              <w:jc w:val="center"/>
              <w:rPr>
                <w:u w:val="single"/>
              </w:rPr>
            </w:pPr>
            <w:r>
              <w:rPr>
                <w:u w:val="single"/>
              </w:rPr>
              <w:t>Sources</w:t>
            </w:r>
          </w:p>
        </w:tc>
        <w:tc>
          <w:tcPr>
            <w:tcW w:w="990" w:type="dxa"/>
            <w:tcBorders>
              <w:bottom w:val="single" w:sz="4" w:space="0" w:color="000000"/>
            </w:tcBorders>
          </w:tcPr>
          <w:p>
            <w:pPr>
              <w:pStyle w:val="Normal"/>
              <w:snapToGrid w:val="false"/>
              <w:jc w:val="center"/>
              <w:rPr>
                <w:u w:val="single"/>
              </w:rPr>
            </w:pPr>
            <w:r>
              <w:rPr>
                <w:u w:val="single"/>
              </w:rPr>
            </w:r>
          </w:p>
        </w:tc>
        <w:tc>
          <w:tcPr>
            <w:tcW w:w="2790" w:type="dxa"/>
            <w:tcBorders>
              <w:bottom w:val="single" w:sz="4" w:space="0" w:color="000000"/>
            </w:tcBorders>
          </w:tcPr>
          <w:p>
            <w:pPr>
              <w:pStyle w:val="Normal"/>
              <w:snapToGrid w:val="false"/>
              <w:jc w:val="center"/>
              <w:rPr>
                <w:u w:val="single"/>
              </w:rPr>
            </w:pPr>
            <w:r>
              <w:rPr>
                <w:u w:val="single"/>
              </w:rPr>
            </w:r>
          </w:p>
        </w:tc>
        <w:tc>
          <w:tcPr>
            <w:tcW w:w="1260" w:type="dxa"/>
            <w:tcBorders>
              <w:bottom w:val="single" w:sz="4" w:space="0" w:color="000000"/>
            </w:tcBorders>
          </w:tcPr>
          <w:p>
            <w:pPr>
              <w:pStyle w:val="Normal"/>
              <w:jc w:val="center"/>
              <w:rPr>
                <w:u w:val="single"/>
              </w:rPr>
            </w:pPr>
            <w:r>
              <w:rPr>
                <w:u w:val="single"/>
              </w:rPr>
              <w:t>Uses</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Equity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$1,900</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Development Costs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$1,900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Off Balance Sheet Funding</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r>
              <w:rPr/>
              <w:t>178,200</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Turbine Progress Payments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178,200</w:t>
            </w:r>
          </w:p>
        </w:tc>
      </w:tr>
      <w:tr>
        <w:trPr/>
        <w:tc>
          <w:tcPr>
            <w:tcW w:w="2700" w:type="dxa"/>
            <w:tcBorders>
              <w:top w:val="single" w:sz="4" w:space="0" w:color="000000"/>
            </w:tcBorders>
          </w:tcPr>
          <w:p>
            <w:pPr>
              <w:pStyle w:val="Normal"/>
              <w:rPr>
                <w:b/>
                <w:bCs/>
              </w:rPr>
            </w:pPr>
            <w:r>
              <w:rPr>
                <w:b/>
                <w:bCs/>
              </w:rPr>
              <w:t>Total</w:t>
            </w:r>
          </w:p>
        </w:tc>
        <w:tc>
          <w:tcPr>
            <w:tcW w:w="1440" w:type="dxa"/>
            <w:tcBorders>
              <w:top w:val="single" w:sz="4" w:space="0" w:color="000000"/>
              <w:bottom w:val="single" w:sz="6" w:space="0" w:color="000000"/>
            </w:tcBorders>
          </w:tcPr>
          <w:p>
            <w:pPr>
              <w:pStyle w:val="Normal"/>
              <w:jc w:val="end"/>
              <w:rPr>
                <w:b/>
                <w:bCs/>
              </w:rPr>
            </w:pPr>
            <w:r>
              <w:rPr>
                <w:b/>
                <w:bCs/>
              </w:rPr>
              <w:t>$190,100</w:t>
            </w:r>
          </w:p>
        </w:tc>
        <w:tc>
          <w:tcPr>
            <w:tcW w:w="990" w:type="dxa"/>
            <w:tcBorders>
              <w:top w:val="single" w:sz="4" w:space="0" w:color="000000"/>
            </w:tcBorders>
          </w:tcPr>
          <w:p>
            <w:pPr>
              <w:pStyle w:val="Normal"/>
              <w:snapToGrid w:val="false"/>
              <w:jc w:val="end"/>
              <w:rPr>
                <w:b/>
                <w:bCs/>
              </w:rPr>
            </w:pPr>
            <w:r>
              <w:rPr>
                <w:b/>
                <w:bCs/>
              </w:rPr>
            </w:r>
          </w:p>
        </w:tc>
        <w:tc>
          <w:tcPr>
            <w:tcW w:w="2790" w:type="dxa"/>
            <w:tcBorders>
              <w:top w:val="single" w:sz="4" w:space="0" w:color="000000"/>
            </w:tcBorders>
          </w:tcPr>
          <w:p>
            <w:pPr>
              <w:pStyle w:val="Header"/>
              <w:widowControl/>
              <w:tabs>
                <w:tab w:val="clear" w:pos="4320"/>
                <w:tab w:val="clear" w:pos="8640"/>
              </w:tabs>
              <w:rPr>
                <w:b/>
                <w:bCs/>
              </w:rPr>
            </w:pPr>
            <w:r>
              <w:rPr>
                <w:b/>
                <w:bCs/>
              </w:rPr>
              <w:t>Total</w:t>
            </w:r>
          </w:p>
        </w:tc>
        <w:tc>
          <w:tcPr>
            <w:tcW w:w="1260" w:type="dxa"/>
            <w:tcBorders>
              <w:top w:val="single" w:sz="4" w:space="0" w:color="000000"/>
              <w:bottom w:val="single" w:sz="6" w:space="0" w:color="000000"/>
            </w:tcBorders>
          </w:tcPr>
          <w:p>
            <w:pPr>
              <w:pStyle w:val="Normal"/>
              <w:jc w:val="end"/>
              <w:rPr>
                <w:b/>
                <w:bCs/>
              </w:rPr>
            </w:pPr>
            <w:r>
              <w:rPr>
                <w:b/>
                <w:bCs/>
              </w:rPr>
              <w:t>$190,100</w:t>
            </w:r>
          </w:p>
        </w:tc>
      </w:tr>
    </w:tbl>
    <w:p>
      <w:pPr>
        <w:pStyle w:val="Heading2"/>
        <w:widowControl/>
        <w:pBdr>
          <w:top w:val="single" w:sz="8" w:space="1" w:color="000000"/>
        </w:pBdr>
        <w:tabs>
          <w:tab w:val="clear" w:pos="720"/>
          <w:tab w:val="left" w:pos="360" w:leader="none"/>
        </w:tabs>
        <w:ind w:hanging="0" w:start="0" w:end="-36"/>
        <w:rPr>
          <w:b w:val="false"/>
          <w:bCs w:val="false"/>
          <w:i w:val="false"/>
          <w:i w:val="false"/>
          <w:iCs w:val="false"/>
        </w:rPr>
      </w:pPr>
      <w:r>
        <w:rPr>
          <w:i w:val="false"/>
          <w:iCs w:val="false"/>
        </w:rPr>
        <w:t xml:space="preserve">TRANSACTION UPSIDES/DOWNSIDES </w:t>
      </w:r>
    </w:p>
    <w:p>
      <w:pPr>
        <w:pStyle w:val="Normal"/>
        <w:tabs>
          <w:tab w:val="clear" w:pos="720"/>
          <w:tab w:val="left" w:pos="360" w:leader="none"/>
        </w:tabs>
        <w:ind w:end="-36"/>
        <w:rPr>
          <w:b/>
          <w:bCs/>
          <w:i/>
          <w:i/>
          <w:iCs/>
        </w:rPr>
      </w:pPr>
      <w:r>
        <w:rPr>
          <w:b/>
          <w:bCs/>
          <w:i/>
          <w:iCs/>
        </w:rPr>
      </w:r>
    </w:p>
    <w:p>
      <w:pPr>
        <w:pStyle w:val="Normal"/>
        <w:tabs>
          <w:tab w:val="clear" w:pos="720"/>
          <w:tab w:val="left" w:pos="360" w:leader="none"/>
        </w:tabs>
        <w:ind w:end="-36"/>
        <w:rPr/>
      </w:pPr>
      <w:r>
        <w:rPr/>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 xml:space="preserve">RISK MATRIX </w:t>
      </w:r>
    </w:p>
    <w:p>
      <w:pPr>
        <w:pStyle w:val="Normal"/>
        <w:rPr>
          <w:i/>
          <w:i/>
          <w:iCs/>
        </w:rPr>
      </w:pPr>
      <w:r>
        <w:rPr>
          <w:i/>
          <w:iCs/>
        </w:rPr>
      </w:r>
    </w:p>
    <w:tbl>
      <w:tblPr>
        <w:tblW w:w="10368" w:type="dxa"/>
        <w:jc w:val="start"/>
        <w:tblInd w:w="0" w:type="dxa"/>
        <w:tblLayout w:type="fixed"/>
        <w:tblCellMar>
          <w:top w:w="0" w:type="dxa"/>
          <w:start w:w="108" w:type="dxa"/>
          <w:bottom w:w="0" w:type="dxa"/>
          <w:end w:w="108" w:type="dxa"/>
        </w:tblCellMar>
      </w:tblPr>
      <w:tblGrid>
        <w:gridCol w:w="5238"/>
        <w:gridCol w:w="5130"/>
      </w:tblGrid>
      <w:tr>
        <w:trPr/>
        <w:tc>
          <w:tcPr>
            <w:tcW w:w="5238"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RISK</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MITIGATION/COMMENTS</w:t>
            </w:r>
          </w:p>
        </w:tc>
      </w:tr>
      <w:tr>
        <w:trPr/>
        <w:tc>
          <w:tcPr>
            <w:tcW w:w="52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Gas Transportation</w:t>
            </w:r>
          </w:p>
          <w:p>
            <w:pPr>
              <w:pStyle w:val="Normal"/>
              <w:numPr>
                <w:ilvl w:val="0"/>
                <w:numId w:val="6"/>
              </w:numPr>
              <w:rPr/>
            </w:pPr>
            <w:r>
              <w:rPr/>
              <w:t>Pastoria intends to submit a bid for a 15-year term, 100,000 MMBtu/day of gas transportation capacity from the primary receipt point at Opal in the Rocky Mountains to the Wheeler Ridge delivery point.  The outcome of the bid is currently uncertain.  Without a gas transportation contract of this size, the Project will be difficult to market.</w:t>
            </w:r>
          </w:p>
          <w:p>
            <w:pPr>
              <w:pStyle w:val="Normal"/>
              <w:numPr>
                <w:ilvl w:val="0"/>
                <w:numId w:val="6"/>
              </w:numPr>
              <w:rPr/>
            </w:pPr>
            <w:r>
              <w:rPr/>
              <w:t>The Project will bear the spot market risk for the remaining 20,000 MMBtu/day of gas transportation capacity required for the project.</w:t>
            </w:r>
          </w:p>
          <w:p>
            <w:pPr>
              <w:pStyle w:val="Normal"/>
              <w:numPr>
                <w:ilvl w:val="0"/>
                <w:numId w:val="6"/>
              </w:numPr>
              <w:rPr/>
            </w:pPr>
            <w:r>
              <w:rPr/>
              <w:t>If ENA decides to terminate the project development subsequent to securing the Kern contract, it will be exposed to the liquidation value of the Kern contract.</w:t>
            </w:r>
          </w:p>
          <w:p>
            <w:pPr>
              <w:pStyle w:val="Normal"/>
              <w:numPr>
                <w:ilvl w:val="0"/>
                <w:numId w:val="5"/>
              </w:numPr>
              <w:rPr/>
            </w:pPr>
            <w:r>
              <w:rPr/>
              <w:t xml:space="preserve">purchase the remaining capacity from the spot market.  </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4"/>
              </w:numPr>
              <w:jc w:val="both"/>
              <w:rPr/>
            </w:pPr>
            <w:r>
              <w:rPr/>
              <w:t>[Ron:  comfort level of securing the intended capacity from Kern – open season is all or nothing?  Also, plans to secure capacity from other sources?]</w:t>
            </w:r>
          </w:p>
          <w:p>
            <w:pPr>
              <w:pStyle w:val="Normal"/>
              <w:numPr>
                <w:ilvl w:val="0"/>
                <w:numId w:val="5"/>
              </w:numPr>
              <w:jc w:val="both"/>
              <w:rPr/>
            </w:pPr>
            <w:r>
              <w:rPr/>
              <w:t>ENA gas desk estimates that it will take a year to liquidate the Kern contract.  The value at risk for an estimated 45-day hedging period prior to the ultimate liquidation is about $34.0 million.</w:t>
            </w:r>
          </w:p>
        </w:tc>
      </w:tr>
      <w:tr>
        <w:trPr/>
        <w:tc>
          <w:tcPr>
            <w:tcW w:w="52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Water Supply</w:t>
            </w:r>
          </w:p>
          <w:p>
            <w:pPr>
              <w:pStyle w:val="Normal"/>
              <w:numPr>
                <w:ilvl w:val="0"/>
                <w:numId w:val="8"/>
              </w:numPr>
              <w:rPr/>
            </w:pPr>
            <w:r>
              <w:rPr/>
              <w:t xml:space="preserve">The Project currently has a primary, interruptible, water supply contract and is in the process of securing a firm back-up supply contract from Kern Water Bank Authority (the “Authority”) through a relatively difficult negotiation.  Without the back-up supply contract, the Project will be subject to supply interruptions.  </w:t>
            </w:r>
          </w:p>
          <w:p>
            <w:pPr>
              <w:pStyle w:val="Normal"/>
              <w:numPr>
                <w:ilvl w:val="0"/>
                <w:numId w:val="8"/>
              </w:numPr>
              <w:rPr/>
            </w:pPr>
            <w:r>
              <w:rPr/>
              <w:t>[legal concerns over the back-up contract if Azurix were to stay in?]</w:t>
            </w:r>
          </w:p>
          <w:p>
            <w:pPr>
              <w:pStyle w:val="Normal"/>
              <w:rPr/>
            </w:pPr>
            <w:r>
              <w:rPr/>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8"/>
              </w:numPr>
              <w:jc w:val="both"/>
              <w:rPr/>
            </w:pPr>
            <w:r>
              <w:rPr/>
              <w:t>ENA has finalized a term sheet with the Authority and has initiated the negotiation process on the definitive agreement.</w:t>
            </w:r>
          </w:p>
          <w:p>
            <w:pPr>
              <w:pStyle w:val="Normal"/>
              <w:numPr>
                <w:ilvl w:val="0"/>
                <w:numId w:val="8"/>
              </w:numPr>
              <w:jc w:val="both"/>
              <w:rPr/>
            </w:pPr>
            <w:r>
              <w:rPr/>
              <w:t>[Ron:  What’s the backup plan if this negotiation falls apart?]</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Marketability</w:t>
            </w:r>
          </w:p>
          <w:p>
            <w:pPr>
              <w:pStyle w:val="Normal"/>
              <w:numPr>
                <w:ilvl w:val="0"/>
                <w:numId w:val="5"/>
              </w:numPr>
              <w:rPr/>
            </w:pPr>
            <w:r>
              <w:rPr/>
              <w:t>Out of the six interested investors, the Buyer offered the highest price and presented the least mark-up on the transaction documents.  If the sale to the Buyer does not close, a potential sale to the other interested investors may offer lesser economic return to ENA.</w:t>
            </w:r>
          </w:p>
          <w:p>
            <w:pPr>
              <w:pStyle w:val="Normal"/>
              <w:numPr>
                <w:ilvl w:val="0"/>
                <w:numId w:val="5"/>
              </w:numPr>
              <w:rPr/>
            </w:pPr>
            <w:r>
              <w:rPr/>
              <w:t>The well-publicized struggles by California with rolling black-outs and its unsuccessful attempt to deregulate may result in a new business and/or political environment, including re-regulation, that may make California less attractive for potential purchasers.</w:t>
            </w:r>
          </w:p>
          <w:p>
            <w:pPr>
              <w:pStyle w:val="Normal"/>
              <w:rPr>
                <w:b/>
                <w:bCs/>
              </w:rPr>
            </w:pPr>
            <w:r>
              <w:rPr>
                <w:b/>
                <w:bCs/>
              </w:rPr>
            </w:r>
          </w:p>
          <w:p>
            <w:pPr>
              <w:pStyle w:val="Normal"/>
              <w:rPr>
                <w:b/>
                <w:bCs/>
              </w:rPr>
            </w:pPr>
            <w:r>
              <w:rPr>
                <w:b/>
                <w:bCs/>
              </w:rPr>
            </w:r>
          </w:p>
          <w:p>
            <w:pPr>
              <w:pStyle w:val="Normal"/>
              <w:rPr>
                <w:b/>
                <w:bCs/>
              </w:rPr>
            </w:pPr>
            <w:r>
              <w:rPr>
                <w:b/>
                <w:bCs/>
              </w:rPr>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5"/>
              </w:numPr>
              <w:jc w:val="both"/>
              <w:rPr>
                <w:color w:val="000000"/>
              </w:rPr>
            </w:pPr>
            <w:r>
              <w:rPr>
                <w:color w:val="000000"/>
              </w:rPr>
              <w:t>[Ron:  speak of the quality of the other five bids as mitigants to market risk.]</w:t>
            </w:r>
          </w:p>
          <w:p>
            <w:pPr>
              <w:pStyle w:val="Normal"/>
              <w:numPr>
                <w:ilvl w:val="0"/>
                <w:numId w:val="5"/>
              </w:numPr>
              <w:jc w:val="both"/>
              <w:rPr/>
            </w:pPr>
            <w:r>
              <w:rPr/>
              <w:t>Notwithstanding the difficult political environment, California is in critical need of new power plants. The Project, given that it is fully permitted, is expected to be attractive to serious investors in the California market.</w:t>
            </w:r>
          </w:p>
          <w:p>
            <w:pPr>
              <w:pStyle w:val="Normal"/>
              <w:jc w:val="both"/>
              <w:rPr/>
            </w:pPr>
            <w:r>
              <w:rPr/>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Project Financing</w:t>
            </w:r>
          </w:p>
          <w:p>
            <w:pPr>
              <w:pStyle w:val="Normal"/>
              <w:numPr>
                <w:ilvl w:val="0"/>
                <w:numId w:val="2"/>
              </w:numPr>
              <w:tabs>
                <w:tab w:val="clear" w:pos="720"/>
                <w:tab w:val="left" w:pos="360" w:leader="none"/>
              </w:tabs>
              <w:ind w:hanging="360" w:start="360" w:end="-36"/>
              <w:jc w:val="both"/>
              <w:rPr/>
            </w:pPr>
            <w:r>
              <w:rPr/>
              <w:t>ENA has not secured a firm EPC contract, nor has it negotiated a power purchase agreement for the output.  Therefore, the timing of ENA’s ability to arrange for a non-recourse project financing is uncertain.</w:t>
            </w:r>
          </w:p>
          <w:p>
            <w:pPr>
              <w:pStyle w:val="Normal"/>
              <w:rPr>
                <w:b/>
                <w:bCs/>
              </w:rPr>
            </w:pPr>
            <w:r>
              <w:rPr>
                <w:b/>
                <w:bCs/>
              </w:rPr>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ind w:start="360" w:end="0"/>
              <w:jc w:val="both"/>
              <w:rPr>
                <w:b/>
                <w:bCs/>
                <w:color w:val="000000"/>
              </w:rPr>
            </w:pPr>
            <w:r>
              <w:rPr>
                <w:b/>
                <w:bCs/>
                <w:color w:val="000000"/>
              </w:rPr>
            </w:r>
          </w:p>
          <w:p>
            <w:pPr>
              <w:pStyle w:val="Normal"/>
              <w:numPr>
                <w:ilvl w:val="0"/>
                <w:numId w:val="2"/>
              </w:numPr>
              <w:tabs>
                <w:tab w:val="clear" w:pos="720"/>
                <w:tab w:val="left" w:pos="342" w:leader="none"/>
              </w:tabs>
              <w:ind w:hanging="342" w:start="342" w:end="0"/>
              <w:jc w:val="both"/>
              <w:rPr>
                <w:color w:val="000000"/>
              </w:rPr>
            </w:pPr>
            <w:r>
              <w:rPr>
                <w:color w:val="000000"/>
              </w:rPr>
            </w:r>
          </w:p>
        </w:tc>
      </w:tr>
    </w:tbl>
    <w:p>
      <w:pPr>
        <w:pStyle w:val="Normal"/>
        <w:rPr/>
      </w:pPr>
      <w:r>
        <w:rPr/>
      </w:r>
    </w:p>
    <w:p>
      <w:pPr>
        <w:pStyle w:val="Heading1"/>
        <w:pBdr>
          <w:top w:val="single" w:sz="8" w:space="12" w:color="000000"/>
        </w:pBdr>
        <w:tabs>
          <w:tab w:val="clear" w:pos="720"/>
          <w:tab w:val="left" w:pos="360" w:leader="none"/>
        </w:tabs>
        <w:ind w:hanging="0" w:start="0"/>
        <w:rPr/>
      </w:pPr>
      <w:r>
        <w:rPr/>
        <w:t>KEY SUCCESS FACTORS</w:t>
      </w:r>
    </w:p>
    <w:p>
      <w:pPr>
        <w:pStyle w:val="Normal"/>
        <w:tabs>
          <w:tab w:val="clear" w:pos="720"/>
          <w:tab w:val="left" w:pos="360" w:leader="none"/>
        </w:tabs>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52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b/>
                <w:bCs/>
              </w:rPr>
            </w:pPr>
            <w:r>
              <w:rPr>
                <w:b/>
                <w:bCs/>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360" w:leader="none"/>
              </w:tabs>
              <w:ind w:hanging="0" w:start="0"/>
              <w:rPr/>
            </w:pPr>
            <w:r>
              <w:rPr/>
              <w:t>Poor                                                                            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360" w:leader="none"/>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p>
        </w:tc>
      </w:tr>
    </w:tbl>
    <w:p>
      <w:pPr>
        <w:pStyle w:val="Normal"/>
        <w:tabs>
          <w:tab w:val="clear" w:pos="720"/>
          <w:tab w:val="left" w:pos="360" w:leader="none"/>
        </w:tabs>
        <w:rPr/>
      </w:pPr>
      <w:r>
        <w:rPr/>
      </w:r>
    </w:p>
    <w:p>
      <w:pPr>
        <w:pStyle w:val="Header"/>
        <w:widowControl/>
        <w:tabs>
          <w:tab w:val="clear" w:pos="4320"/>
          <w:tab w:val="clear" w:pos="8640"/>
          <w:tab w:val="left" w:pos="360" w:leader="none"/>
        </w:tabs>
        <w:rPr/>
      </w:pPr>
      <w:r>
        <w:rPr/>
      </w:r>
    </w:p>
    <w:p>
      <w:pPr>
        <w:pStyle w:val="Normal"/>
        <w:numPr>
          <w:ilvl w:val="0"/>
          <w:numId w:val="0"/>
        </w:numPr>
        <w:pBdr>
          <w:top w:val="single" w:sz="8" w:space="1" w:color="000000"/>
        </w:pBdr>
        <w:tabs>
          <w:tab w:val="clear" w:pos="720"/>
          <w:tab w:val="left" w:pos="360" w:leader="none"/>
        </w:tabs>
        <w:outlineLvl w:val="0"/>
        <w:rPr>
          <w:b/>
          <w:bCs/>
        </w:rPr>
      </w:pPr>
      <w:r>
        <w:rPr>
          <w:b/>
          <w:bCs/>
        </w:rPr>
        <w:t xml:space="preserve">OTHER RAC COMMENTS: </w:t>
      </w:r>
    </w:p>
    <w:p>
      <w:pPr>
        <w:pStyle w:val="Normal"/>
        <w:numPr>
          <w:ilvl w:val="0"/>
          <w:numId w:val="0"/>
        </w:numPr>
        <w:pBdr>
          <w:top w:val="single" w:sz="8" w:space="1" w:color="000000"/>
        </w:pBdr>
        <w:tabs>
          <w:tab w:val="clear" w:pos="720"/>
          <w:tab w:val="left" w:pos="360" w:leader="none"/>
        </w:tabs>
        <w:outlineLvl w:val="0"/>
        <w:rPr>
          <w:b/>
          <w:bCs/>
        </w:rPr>
      </w:pPr>
      <w:r>
        <w:rPr>
          <w:b/>
          <w:bCs/>
        </w:rPr>
      </w:r>
    </w:p>
    <w:p>
      <w:pPr>
        <w:pStyle w:val="Normal"/>
        <w:tabs>
          <w:tab w:val="clear" w:pos="720"/>
          <w:tab w:val="left" w:pos="360" w:leader="none"/>
        </w:tabs>
        <w:rPr/>
      </w:pPr>
      <w:r>
        <w:rPr/>
        <w:t xml:space="preserve">Should ENA desire to commit capital to the project in excess of that requested herein, it must seek further board approval.  </w:t>
      </w:r>
    </w:p>
    <w:p>
      <w:pPr>
        <w:pStyle w:val="Header"/>
        <w:widowControl/>
        <w:tabs>
          <w:tab w:val="clear" w:pos="4320"/>
          <w:tab w:val="clear" w:pos="8640"/>
          <w:tab w:val="left" w:pos="360" w:leader="none"/>
        </w:tabs>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tabs>
                <w:tab w:val="clear" w:pos="720"/>
                <w:tab w:val="left" w:pos="360" w:leader="none"/>
              </w:tabs>
              <w:ind w:hanging="0" w:start="0"/>
              <w:rPr>
                <w:i/>
                <w:i/>
                <w:iCs/>
              </w:rPr>
            </w:pPr>
            <w:r>
              <w:rPr/>
              <w:t>APPROVALS</w:t>
            </w:r>
          </w:p>
        </w:tc>
        <w:tc>
          <w:tcPr>
            <w:tcW w:w="360" w:type="dxa"/>
            <w:tcBorders>
              <w:top w:val="single" w:sz="4" w:space="0" w:color="000000"/>
            </w:tcBorders>
            <w:vAlign w:val="bottom"/>
          </w:tcPr>
          <w:p>
            <w:pPr>
              <w:pStyle w:val="Normal"/>
              <w:keepNext w:val="true"/>
              <w:tabs>
                <w:tab w:val="clear" w:pos="720"/>
                <w:tab w:val="left" w:pos="360" w:leader="none"/>
              </w:tabs>
              <w:snapToGrid w:val="false"/>
              <w:rPr>
                <w:b/>
                <w:bCs/>
                <w:i/>
                <w:i/>
                <w:iCs/>
              </w:rPr>
            </w:pPr>
            <w:r>
              <w:rPr>
                <w:b/>
                <w:bCs/>
                <w:i/>
                <w:iCs/>
              </w:rPr>
            </w:r>
          </w:p>
        </w:tc>
        <w:tc>
          <w:tcPr>
            <w:tcW w:w="2932" w:type="dxa"/>
            <w:tcBorders>
              <w:top w:val="single" w:sz="4" w:space="0" w:color="000000"/>
            </w:tcBorders>
            <w:vAlign w:val="bottom"/>
          </w:tcPr>
          <w:p>
            <w:pPr>
              <w:pStyle w:val="Normal"/>
              <w:keepNext w:val="true"/>
              <w:tabs>
                <w:tab w:val="clear" w:pos="720"/>
                <w:tab w:val="left" w:pos="360" w:leader="none"/>
              </w:tabs>
              <w:jc w:val="center"/>
              <w:rPr>
                <w:b/>
                <w:bCs/>
              </w:rPr>
            </w:pPr>
            <w:r>
              <w:rPr>
                <w:b/>
                <w:bCs/>
              </w:rPr>
              <w:t>Name</w:t>
            </w:r>
          </w:p>
        </w:tc>
        <w:tc>
          <w:tcPr>
            <w:tcW w:w="354"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2924" w:type="dxa"/>
            <w:tcBorders>
              <w:top w:val="single" w:sz="4" w:space="0" w:color="000000"/>
            </w:tcBorders>
            <w:vAlign w:val="bottom"/>
          </w:tcPr>
          <w:p>
            <w:pPr>
              <w:pStyle w:val="Normal"/>
              <w:keepNext w:val="true"/>
              <w:tabs>
                <w:tab w:val="clear" w:pos="720"/>
                <w:tab w:val="left" w:pos="360" w:leader="none"/>
              </w:tabs>
              <w:jc w:val="center"/>
              <w:rPr>
                <w:b/>
                <w:bCs/>
              </w:rPr>
            </w:pPr>
            <w:r>
              <w:rPr>
                <w:b/>
                <w:bCs/>
              </w:rPr>
              <w:t>Signature</w:t>
            </w:r>
          </w:p>
        </w:tc>
        <w:tc>
          <w:tcPr>
            <w:tcW w:w="293"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1057" w:type="dxa"/>
            <w:tcBorders>
              <w:top w:val="single" w:sz="4" w:space="0" w:color="000000"/>
            </w:tcBorders>
            <w:vAlign w:val="bottom"/>
          </w:tcPr>
          <w:p>
            <w:pPr>
              <w:pStyle w:val="Normal"/>
              <w:keepNext w:val="true"/>
              <w:tabs>
                <w:tab w:val="clear" w:pos="720"/>
                <w:tab w:val="left" w:pos="360" w:leader="none"/>
              </w:tabs>
              <w:jc w:val="center"/>
              <w:rPr>
                <w:b/>
                <w:bCs/>
              </w:rPr>
            </w:pPr>
            <w:r>
              <w:rPr>
                <w:b/>
                <w:bCs/>
              </w:rPr>
              <w:t>Date</w:t>
            </w:r>
          </w:p>
        </w:tc>
      </w:tr>
      <w:tr>
        <w:trPr>
          <w:trHeight w:val="360" w:hRule="atLeast"/>
        </w:trPr>
        <w:tc>
          <w:tcPr>
            <w:tcW w:w="2448" w:type="dxa"/>
            <w:tcBorders/>
          </w:tcPr>
          <w:p>
            <w:pPr>
              <w:pStyle w:val="Normal"/>
              <w:tabs>
                <w:tab w:val="clear" w:pos="720"/>
                <w:tab w:val="left" w:pos="360" w:leader="none"/>
              </w:tabs>
              <w:spacing w:before="120" w:after="0"/>
              <w:rPr/>
            </w:pPr>
            <w:r>
              <w:rPr/>
              <w:t>West Origination</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David Parquet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297" w:hRule="atLeast"/>
        </w:trPr>
        <w:tc>
          <w:tcPr>
            <w:tcW w:w="2448" w:type="dxa"/>
            <w:tcBorders/>
          </w:tcPr>
          <w:p>
            <w:pPr>
              <w:pStyle w:val="Normal"/>
              <w:tabs>
                <w:tab w:val="clear" w:pos="720"/>
                <w:tab w:val="left" w:pos="360" w:leader="none"/>
              </w:tabs>
              <w:spacing w:before="120" w:after="0"/>
              <w:rPr/>
            </w:pPr>
            <w:r>
              <w:rPr/>
              <w:t>West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Chris Calger</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Legal</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 xml:space="preserve">Mark Haedicke </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Accounting</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Wes Colwell</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Tech Services</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Brian Redmond</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Executive</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John Lavorato</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EWS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Mark Frevert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RAC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Rick Buy / Dave Gorte</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Global Finance</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Andy Fastow / Ben Glisan</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Jeff Skilling</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bl>
    <w:p>
      <w:pPr>
        <w:pStyle w:val="Normal"/>
        <w:numPr>
          <w:ilvl w:val="0"/>
          <w:numId w:val="0"/>
        </w:numPr>
        <w:tabs>
          <w:tab w:val="clear" w:pos="720"/>
          <w:tab w:val="left" w:pos="360" w:leader="none"/>
        </w:tabs>
        <w:outlineLvl w:val="0"/>
        <w:rPr>
          <w:b/>
          <w:bCs/>
          <w:sz w:val="28"/>
          <w:szCs w:val="28"/>
          <w:u w:val="single"/>
        </w:rPr>
      </w:pPr>
      <w:r>
        <w:rPr>
          <w:b/>
          <w:bCs/>
          <w:sz w:val="28"/>
          <w:szCs w:val="28"/>
          <w:u w:val="single"/>
        </w:rPr>
      </w:r>
      <w:r>
        <w:br w:type="page"/>
      </w:r>
    </w:p>
    <w:p>
      <w:pPr>
        <w:pStyle w:val="Normal"/>
        <w:jc w:val="both"/>
        <w:rPr>
          <w:b/>
          <w:bCs/>
          <w:sz w:val="28"/>
          <w:szCs w:val="28"/>
          <w:u w:val="single"/>
        </w:rPr>
      </w:pPr>
      <w:r>
        <w:rPr>
          <w:b/>
          <w:bCs/>
          <w:sz w:val="28"/>
          <w:szCs w:val="28"/>
          <w:u w:val="single"/>
        </w:rPr>
      </w:r>
    </w:p>
    <w:tbl>
      <w:tblPr>
        <w:tblW w:w="10440" w:type="dxa"/>
        <w:jc w:val="start"/>
        <w:tblInd w:w="0" w:type="dxa"/>
        <w:tblLayout w:type="fixed"/>
        <w:tblCellMar>
          <w:top w:w="0" w:type="dxa"/>
          <w:start w:w="108" w:type="dxa"/>
          <w:bottom w:w="0" w:type="dxa"/>
          <w:end w:w="108" w:type="dxa"/>
        </w:tblCellMar>
      </w:tblPr>
      <w:tblGrid>
        <w:gridCol w:w="3941"/>
        <w:gridCol w:w="1380"/>
        <w:gridCol w:w="1300"/>
        <w:gridCol w:w="1227"/>
        <w:gridCol w:w="1372"/>
        <w:gridCol w:w="1220"/>
      </w:tblGrid>
      <w:tr>
        <w:trPr>
          <w:trHeight w:val="996" w:hRule="atLeast"/>
        </w:trPr>
        <w:tc>
          <w:tcPr>
            <w:tcW w:w="3941" w:type="dxa"/>
            <w:tcBorders>
              <w:top w:val="single" w:sz="12" w:space="0" w:color="000000"/>
              <w:start w:val="single" w:sz="12" w:space="0" w:color="000000"/>
              <w:bottom w:val="single" w:sz="6" w:space="0" w:color="000000"/>
              <w:end w:val="single" w:sz="6" w:space="0" w:color="000000"/>
            </w:tcBorders>
          </w:tcPr>
          <w:p>
            <w:pPr>
              <w:pStyle w:val="Normal"/>
              <w:snapToGrid w:val="false"/>
              <w:jc w:val="center"/>
              <w:rPr>
                <w:b/>
                <w:bCs/>
              </w:rPr>
            </w:pPr>
            <w:r>
              <w:rPr>
                <w:b/>
                <w:bCs/>
              </w:rPr>
            </w:r>
          </w:p>
          <w:p>
            <w:pPr>
              <w:pStyle w:val="Header"/>
              <w:widowControl/>
              <w:tabs>
                <w:tab w:val="clear" w:pos="4320"/>
                <w:tab w:val="clear" w:pos="8640"/>
              </w:tabs>
              <w:jc w:val="center"/>
              <w:rPr>
                <w:b/>
                <w:bCs/>
              </w:rPr>
            </w:pPr>
            <w:r>
              <w:rPr>
                <w:b/>
                <w:bCs/>
              </w:rPr>
            </w:r>
          </w:p>
          <w:p>
            <w:pPr>
              <w:pStyle w:val="Normal"/>
              <w:jc w:val="center"/>
              <w:rPr>
                <w:b/>
                <w:bCs/>
              </w:rPr>
            </w:pPr>
            <w:r>
              <w:rPr>
                <w:b/>
                <w:bCs/>
              </w:rPr>
              <w:t>Item</w:t>
            </w:r>
          </w:p>
        </w:tc>
        <w:tc>
          <w:tcPr>
            <w:tcW w:w="138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b/>
                <w:bCs/>
              </w:rPr>
            </w:pPr>
            <w:r>
              <w:rPr>
                <w:b/>
                <w:bCs/>
              </w:rPr>
            </w:r>
          </w:p>
          <w:p>
            <w:pPr>
              <w:pStyle w:val="Normal"/>
              <w:jc w:val="center"/>
              <w:rPr>
                <w:b/>
                <w:bCs/>
              </w:rPr>
            </w:pPr>
            <w:r>
              <w:rPr>
                <w:b/>
                <w:bCs/>
              </w:rPr>
              <w:t>Costs per DASH 4/30/99</w:t>
            </w:r>
          </w:p>
        </w:tc>
        <w:tc>
          <w:tcPr>
            <w:tcW w:w="130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b/>
                <w:bCs/>
              </w:rPr>
            </w:pPr>
            <w:r>
              <w:rPr>
                <w:b/>
                <w:bCs/>
              </w:rPr>
            </w:r>
          </w:p>
          <w:p>
            <w:pPr>
              <w:pStyle w:val="Normal"/>
              <w:jc w:val="center"/>
              <w:rPr>
                <w:b/>
                <w:bCs/>
              </w:rPr>
            </w:pPr>
            <w:r>
              <w:rPr>
                <w:b/>
                <w:bCs/>
              </w:rPr>
              <w:t>Costs per DASH 5/22/00</w:t>
            </w:r>
          </w:p>
        </w:tc>
        <w:tc>
          <w:tcPr>
            <w:tcW w:w="1227" w:type="dxa"/>
            <w:tcBorders>
              <w:top w:val="single" w:sz="12" w:space="0" w:color="000000"/>
              <w:start w:val="single" w:sz="6" w:space="0" w:color="000000"/>
              <w:bottom w:val="single" w:sz="6" w:space="0" w:color="000000"/>
              <w:end w:val="single" w:sz="6" w:space="0" w:color="000000"/>
            </w:tcBorders>
            <w:vAlign w:val="center"/>
          </w:tcPr>
          <w:p>
            <w:pPr>
              <w:pStyle w:val="Normal"/>
              <w:jc w:val="center"/>
              <w:rPr>
                <w:b/>
                <w:bCs/>
              </w:rPr>
            </w:pPr>
            <w:r>
              <w:rPr>
                <w:b/>
                <w:bCs/>
              </w:rPr>
              <w:t>Costs per</w:t>
            </w:r>
          </w:p>
          <w:p>
            <w:pPr>
              <w:pStyle w:val="Normal"/>
              <w:jc w:val="center"/>
              <w:rPr>
                <w:b/>
                <w:bCs/>
              </w:rPr>
            </w:pPr>
            <w:r>
              <w:rPr>
                <w:b/>
                <w:bCs/>
              </w:rPr>
              <w:t>DASH</w:t>
            </w:r>
          </w:p>
          <w:p>
            <w:pPr>
              <w:pStyle w:val="Normal"/>
              <w:jc w:val="center"/>
              <w:rPr>
                <w:b/>
                <w:bCs/>
              </w:rPr>
            </w:pPr>
            <w:r>
              <w:rPr>
                <w:b/>
                <w:bCs/>
              </w:rPr>
              <w:t>7/12/00</w:t>
            </w:r>
          </w:p>
        </w:tc>
        <w:tc>
          <w:tcPr>
            <w:tcW w:w="1372" w:type="dxa"/>
            <w:tcBorders>
              <w:top w:val="single" w:sz="12" w:space="0" w:color="000000"/>
              <w:start w:val="single" w:sz="6" w:space="0" w:color="000000"/>
              <w:bottom w:val="single" w:sz="6" w:space="0" w:color="000000"/>
              <w:end w:val="single" w:sz="6" w:space="0" w:color="000000"/>
            </w:tcBorders>
            <w:vAlign w:val="center"/>
          </w:tcPr>
          <w:p>
            <w:pPr>
              <w:pStyle w:val="Normal"/>
              <w:jc w:val="center"/>
              <w:rPr>
                <w:b/>
                <w:bCs/>
              </w:rPr>
            </w:pPr>
            <w:r>
              <w:rPr>
                <w:b/>
                <w:bCs/>
              </w:rPr>
              <w:t>Incremental Amount per this DASH</w:t>
            </w:r>
          </w:p>
        </w:tc>
        <w:tc>
          <w:tcPr>
            <w:tcW w:w="1220"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b/>
                <w:bCs/>
              </w:rPr>
            </w:pPr>
            <w:r>
              <w:rPr>
                <w:b/>
                <w:bCs/>
              </w:rPr>
            </w:r>
          </w:p>
          <w:p>
            <w:pPr>
              <w:pStyle w:val="Normal"/>
              <w:jc w:val="center"/>
              <w:rPr>
                <w:b/>
                <w:bCs/>
              </w:rPr>
            </w:pPr>
            <w:r>
              <w:rPr>
                <w:b/>
                <w:bCs/>
              </w:rPr>
              <w:t>Total ENA Equity</w:t>
            </w:r>
          </w:p>
          <w:p>
            <w:pPr>
              <w:pStyle w:val="Normal"/>
              <w:jc w:val="center"/>
              <w:rPr>
                <w:b/>
                <w:bCs/>
              </w:rPr>
            </w:pPr>
            <w:r>
              <w:rPr>
                <w:b/>
                <w:bCs/>
              </w:rPr>
            </w:r>
          </w:p>
        </w:tc>
      </w:tr>
      <w:tr>
        <w:trPr>
          <w:trHeight w:val="255" w:hRule="atLeast"/>
        </w:trPr>
        <w:tc>
          <w:tcPr>
            <w:tcW w:w="3941" w:type="dxa"/>
            <w:tcBorders>
              <w:start w:val="single" w:sz="12" w:space="0" w:color="000000"/>
              <w:bottom w:val="single" w:sz="6" w:space="0" w:color="000000"/>
              <w:end w:val="single" w:sz="6" w:space="0" w:color="000000"/>
            </w:tcBorders>
          </w:tcPr>
          <w:p>
            <w:pPr>
              <w:pStyle w:val="Header"/>
              <w:widowControl/>
              <w:tabs>
                <w:tab w:val="clear" w:pos="4320"/>
                <w:tab w:val="clear" w:pos="8640"/>
              </w:tabs>
              <w:rPr/>
            </w:pPr>
            <w:r>
              <w:rPr/>
              <w:t>Internal Costs</w:t>
            </w:r>
          </w:p>
        </w:tc>
        <w:tc>
          <w:tcPr>
            <w:tcW w:w="1380" w:type="dxa"/>
            <w:tcBorders>
              <w:start w:val="single" w:sz="6" w:space="0" w:color="000000"/>
              <w:bottom w:val="single" w:sz="6" w:space="0" w:color="000000"/>
              <w:end w:val="single" w:sz="6" w:space="0" w:color="000000"/>
            </w:tcBorders>
          </w:tcPr>
          <w:p>
            <w:pPr>
              <w:pStyle w:val="Normal"/>
              <w:jc w:val="end"/>
              <w:rPr/>
            </w:pPr>
            <w:r>
              <w:rPr/>
              <w:t>$1,000</w:t>
            </w:r>
          </w:p>
        </w:tc>
        <w:tc>
          <w:tcPr>
            <w:tcW w:w="1300" w:type="dxa"/>
            <w:tcBorders>
              <w:start w:val="single" w:sz="6" w:space="0" w:color="000000"/>
              <w:bottom w:val="single" w:sz="6" w:space="0" w:color="000000"/>
              <w:end w:val="single" w:sz="6" w:space="0" w:color="000000"/>
            </w:tcBorders>
          </w:tcPr>
          <w:p>
            <w:pPr>
              <w:pStyle w:val="Normal"/>
              <w:jc w:val="end"/>
              <w:rPr/>
            </w:pPr>
            <w:r>
              <w:rPr/>
              <w:t>-</w:t>
            </w:r>
          </w:p>
        </w:tc>
        <w:tc>
          <w:tcPr>
            <w:tcW w:w="1227" w:type="dxa"/>
            <w:tcBorders>
              <w:start w:val="single" w:sz="6" w:space="0" w:color="000000"/>
              <w:bottom w:val="single" w:sz="6" w:space="0" w:color="000000"/>
              <w:end w:val="single" w:sz="6" w:space="0" w:color="000000"/>
            </w:tcBorders>
          </w:tcPr>
          <w:p>
            <w:pPr>
              <w:pStyle w:val="Normal"/>
              <w:jc w:val="end"/>
              <w:rPr/>
            </w:pPr>
            <w:r>
              <w:rPr/>
              <w:t>-</w:t>
            </w:r>
          </w:p>
        </w:tc>
        <w:tc>
          <w:tcPr>
            <w:tcW w:w="1372" w:type="dxa"/>
            <w:tcBorders>
              <w:start w:val="single" w:sz="6" w:space="0" w:color="000000"/>
              <w:bottom w:val="single" w:sz="6" w:space="0" w:color="000000"/>
              <w:end w:val="single" w:sz="6" w:space="0" w:color="000000"/>
            </w:tcBorders>
          </w:tcPr>
          <w:p>
            <w:pPr>
              <w:pStyle w:val="Normal"/>
              <w:jc w:val="end"/>
              <w:rPr/>
            </w:pPr>
            <w:r>
              <w:rPr/>
              <w:t>-</w:t>
            </w:r>
          </w:p>
        </w:tc>
        <w:tc>
          <w:tcPr>
            <w:tcW w:w="1220" w:type="dxa"/>
            <w:tcBorders>
              <w:start w:val="single" w:sz="6" w:space="0" w:color="000000"/>
              <w:bottom w:val="single" w:sz="6" w:space="0" w:color="000000"/>
              <w:end w:val="single" w:sz="12" w:space="0" w:color="000000"/>
            </w:tcBorders>
          </w:tcPr>
          <w:p>
            <w:pPr>
              <w:pStyle w:val="Normal"/>
              <w:jc w:val="end"/>
              <w:rPr/>
            </w:pPr>
            <w:r>
              <w:rPr/>
              <w:t>$1,000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Header"/>
              <w:widowControl/>
              <w:tabs>
                <w:tab w:val="clear" w:pos="4320"/>
                <w:tab w:val="clear" w:pos="8640"/>
              </w:tabs>
              <w:rPr/>
            </w:pPr>
            <w:r>
              <w:rPr/>
              <w:t>Tejon Payments (Signing of Land Lease Option)</w:t>
            </w:r>
          </w:p>
        </w:tc>
        <w:tc>
          <w:tcPr>
            <w:tcW w:w="1380" w:type="dxa"/>
            <w:tcBorders>
              <w:top w:val="single" w:sz="6" w:space="0" w:color="000000"/>
              <w:start w:val="single" w:sz="6" w:space="0" w:color="000000"/>
              <w:bottom w:val="single" w:sz="6" w:space="0" w:color="000000"/>
              <w:end w:val="single" w:sz="6" w:space="0" w:color="000000"/>
            </w:tcBorders>
            <w:vAlign w:val="center"/>
          </w:tcPr>
          <w:p>
            <w:pPr>
              <w:pStyle w:val="Normal"/>
              <w:jc w:val="end"/>
              <w:rPr/>
            </w:pPr>
            <w:r>
              <w:rPr/>
              <w:t>500</w:t>
            </w:r>
          </w:p>
        </w:tc>
        <w:tc>
          <w:tcPr>
            <w:tcW w:w="13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500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Tejon Payment (Data Adequacy and Water)</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1,000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1,000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Tejon Monthly Payments</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2,150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500</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2,650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Environmental Permitting/Development Engineering</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810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1,820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250</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2,830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Air District Filing Fee</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200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(100)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100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ALTA Survey</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250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(250)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Header"/>
              <w:widowControl/>
              <w:tabs>
                <w:tab w:val="clear" w:pos="4320"/>
                <w:tab w:val="clear" w:pos="8640"/>
              </w:tabs>
              <w:rPr/>
            </w:pPr>
            <w:r>
              <w:rPr/>
              <w:t>Legal Fees</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2,000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 xml:space="preserve">500 </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2,500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Air Pollution Offsets</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15,000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12,800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27,800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Engineering (EPC related)</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340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227</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100</w:t>
            </w:r>
          </w:p>
        </w:tc>
        <w:tc>
          <w:tcPr>
            <w:tcW w:w="1220" w:type="dxa"/>
            <w:tcBorders>
              <w:top w:val="single" w:sz="6" w:space="0" w:color="000000"/>
              <w:start w:val="single" w:sz="6" w:space="0" w:color="000000"/>
              <w:bottom w:val="single" w:sz="6" w:space="0" w:color="000000"/>
              <w:end w:val="single" w:sz="12" w:space="0" w:color="000000"/>
            </w:tcBorders>
          </w:tcPr>
          <w:p>
            <w:pPr>
              <w:pStyle w:val="Normal"/>
              <w:snapToGrid w:val="false"/>
              <w:jc w:val="end"/>
              <w:rPr/>
            </w:pPr>
            <w:r>
              <w:rPr/>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Purchase of Antelope Valley Transmission Queue Position</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4,000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4,000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12/15/00 Turbine Progress Payment</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9,900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9,900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Advance Water Payment</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1,100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1,100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Contingency</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5,000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5,000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Miscellaneous</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90</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410</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200</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700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Header"/>
              <w:widowControl/>
              <w:tabs>
                <w:tab w:val="clear" w:pos="4320"/>
                <w:tab w:val="clear" w:pos="8640"/>
              </w:tabs>
              <w:rPr/>
            </w:pPr>
            <w:r>
              <w:rPr/>
              <w:t>11/15/00 Turbine Progress Payment (Catalytica Spark Spread Option Repurchase)</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9,900</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9,900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Azurix Back-up Water Option Premium</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200</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200</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San Luis Obispo Air District</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148.5</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148.5</w:t>
            </w:r>
          </w:p>
        </w:tc>
      </w:tr>
      <w:tr>
        <w:trPr/>
        <w:tc>
          <w:tcPr>
            <w:tcW w:w="3941" w:type="dxa"/>
            <w:tcBorders>
              <w:top w:val="single" w:sz="6" w:space="0" w:color="000000"/>
              <w:start w:val="single" w:sz="12" w:space="0" w:color="000000"/>
              <w:bottom w:val="single" w:sz="6" w:space="0" w:color="000000"/>
              <w:end w:val="single" w:sz="6" w:space="0" w:color="000000"/>
            </w:tcBorders>
          </w:tcPr>
          <w:p>
            <w:pPr>
              <w:pStyle w:val="Header"/>
              <w:widowControl/>
              <w:tabs>
                <w:tab w:val="clear" w:pos="4320"/>
                <w:tab w:val="clear" w:pos="8640"/>
              </w:tabs>
              <w:snapToGrid w:val="false"/>
              <w:rPr/>
            </w:pPr>
            <w:r>
              <w:rPr/>
            </w:r>
          </w:p>
        </w:tc>
        <w:tc>
          <w:tcPr>
            <w:tcW w:w="138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c>
          <w:tcPr>
            <w:tcW w:w="13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c>
          <w:tcPr>
            <w:tcW w:w="1227"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c>
          <w:tcPr>
            <w:tcW w:w="1372" w:type="dxa"/>
            <w:tcBorders>
              <w:top w:val="single" w:sz="6" w:space="0" w:color="000000"/>
              <w:start w:val="single" w:sz="6" w:space="0" w:color="000000"/>
              <w:bottom w:val="single" w:sz="6" w:space="0" w:color="000000"/>
              <w:end w:val="single" w:sz="6" w:space="0" w:color="000000"/>
            </w:tcBorders>
          </w:tcPr>
          <w:p>
            <w:pPr>
              <w:pStyle w:val="Normal"/>
              <w:snapToGrid w:val="false"/>
              <w:jc w:val="end"/>
              <w:rPr/>
            </w:pPr>
            <w:r>
              <w:rPr/>
            </w:r>
          </w:p>
        </w:tc>
        <w:tc>
          <w:tcPr>
            <w:tcW w:w="1220" w:type="dxa"/>
            <w:tcBorders>
              <w:top w:val="single" w:sz="6" w:space="0" w:color="000000"/>
              <w:start w:val="single" w:sz="6" w:space="0" w:color="000000"/>
              <w:bottom w:val="single" w:sz="6" w:space="0" w:color="000000"/>
              <w:end w:val="single" w:sz="12" w:space="0" w:color="000000"/>
            </w:tcBorders>
          </w:tcPr>
          <w:p>
            <w:pPr>
              <w:pStyle w:val="Normal"/>
              <w:snapToGrid w:val="false"/>
              <w:jc w:val="end"/>
              <w:rPr/>
            </w:pPr>
            <w:r>
              <w:rPr/>
            </w:r>
          </w:p>
        </w:tc>
      </w:tr>
      <w:tr>
        <w:trPr/>
        <w:tc>
          <w:tcPr>
            <w:tcW w:w="3941" w:type="dxa"/>
            <w:tcBorders>
              <w:top w:val="single" w:sz="6" w:space="0" w:color="000000"/>
              <w:start w:val="single" w:sz="12" w:space="0" w:color="000000"/>
              <w:bottom w:val="single" w:sz="6" w:space="0" w:color="000000"/>
              <w:end w:val="single" w:sz="6" w:space="0" w:color="000000"/>
            </w:tcBorders>
          </w:tcPr>
          <w:p>
            <w:pPr>
              <w:pStyle w:val="Normal"/>
              <w:rPr/>
            </w:pPr>
            <w:r>
              <w:rPr/>
              <w:t xml:space="preserve">Gas Transportation </w:t>
            </w:r>
          </w:p>
        </w:tc>
        <w:tc>
          <w:tcPr>
            <w:tcW w:w="138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00"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227" w:type="dxa"/>
            <w:tcBorders>
              <w:top w:val="single" w:sz="6" w:space="0" w:color="000000"/>
              <w:start w:val="single" w:sz="6" w:space="0" w:color="000000"/>
              <w:bottom w:val="single" w:sz="6" w:space="0" w:color="000000"/>
              <w:end w:val="single" w:sz="6" w:space="0" w:color="000000"/>
            </w:tcBorders>
          </w:tcPr>
          <w:p>
            <w:pPr>
              <w:pStyle w:val="Normal"/>
              <w:jc w:val="end"/>
              <w:rPr/>
            </w:pPr>
            <w:r>
              <w:rPr/>
              <w:t>-</w:t>
            </w:r>
          </w:p>
        </w:tc>
        <w:tc>
          <w:tcPr>
            <w:tcW w:w="1372" w:type="dxa"/>
            <w:tcBorders>
              <w:top w:val="single" w:sz="6" w:space="0" w:color="000000"/>
              <w:start w:val="single" w:sz="6" w:space="0" w:color="000000"/>
              <w:bottom w:val="single" w:sz="6" w:space="0" w:color="000000"/>
              <w:end w:val="single" w:sz="6" w:space="0" w:color="000000"/>
            </w:tcBorders>
          </w:tcPr>
          <w:p>
            <w:pPr>
              <w:pStyle w:val="Normal"/>
              <w:jc w:val="end"/>
              <w:rPr/>
            </w:pPr>
            <w:r>
              <w:rPr/>
              <w:t>34,000</w:t>
            </w:r>
          </w:p>
        </w:tc>
        <w:tc>
          <w:tcPr>
            <w:tcW w:w="1220" w:type="dxa"/>
            <w:tcBorders>
              <w:top w:val="single" w:sz="6" w:space="0" w:color="000000"/>
              <w:start w:val="single" w:sz="6" w:space="0" w:color="000000"/>
              <w:bottom w:val="single" w:sz="6" w:space="0" w:color="000000"/>
              <w:end w:val="single" w:sz="12" w:space="0" w:color="000000"/>
            </w:tcBorders>
          </w:tcPr>
          <w:p>
            <w:pPr>
              <w:pStyle w:val="Normal"/>
              <w:jc w:val="end"/>
              <w:rPr/>
            </w:pPr>
            <w:r>
              <w:rPr/>
              <w:t>34,000</w:t>
            </w:r>
          </w:p>
        </w:tc>
      </w:tr>
      <w:tr>
        <w:trPr/>
        <w:tc>
          <w:tcPr>
            <w:tcW w:w="3941" w:type="dxa"/>
            <w:tcBorders>
              <w:top w:val="single" w:sz="6" w:space="0" w:color="000000"/>
              <w:start w:val="single" w:sz="12" w:space="0" w:color="000000"/>
              <w:bottom w:val="single" w:sz="12" w:space="0" w:color="000000"/>
              <w:end w:val="single" w:sz="6" w:space="0" w:color="000000"/>
            </w:tcBorders>
          </w:tcPr>
          <w:p>
            <w:pPr>
              <w:pStyle w:val="Normal"/>
              <w:rPr>
                <w:b/>
                <w:bCs/>
              </w:rPr>
            </w:pPr>
            <w:r>
              <w:rPr>
                <w:b/>
                <w:bCs/>
              </w:rPr>
              <w:t>Total</w:t>
            </w:r>
          </w:p>
        </w:tc>
        <w:tc>
          <w:tcPr>
            <w:tcW w:w="1380" w:type="dxa"/>
            <w:tcBorders>
              <w:top w:val="single" w:sz="6" w:space="0" w:color="000000"/>
              <w:start w:val="single" w:sz="6" w:space="0" w:color="000000"/>
              <w:bottom w:val="single" w:sz="12" w:space="0" w:color="000000"/>
              <w:end w:val="single" w:sz="6" w:space="0" w:color="000000"/>
            </w:tcBorders>
          </w:tcPr>
          <w:p>
            <w:pPr>
              <w:pStyle w:val="Normal"/>
              <w:jc w:val="end"/>
              <w:rPr>
                <w:b/>
                <w:bCs/>
              </w:rPr>
            </w:pPr>
            <w:r>
              <w:rPr>
                <w:b/>
                <w:bCs/>
              </w:rPr>
              <w:t>$28,340</w:t>
            </w:r>
          </w:p>
        </w:tc>
        <w:tc>
          <w:tcPr>
            <w:tcW w:w="1300" w:type="dxa"/>
            <w:tcBorders>
              <w:top w:val="single" w:sz="6" w:space="0" w:color="000000"/>
              <w:start w:val="single" w:sz="6" w:space="0" w:color="000000"/>
              <w:bottom w:val="single" w:sz="12" w:space="0" w:color="000000"/>
              <w:end w:val="single" w:sz="6" w:space="0" w:color="000000"/>
            </w:tcBorders>
          </w:tcPr>
          <w:p>
            <w:pPr>
              <w:pStyle w:val="Normal"/>
              <w:jc w:val="end"/>
              <w:rPr>
                <w:b/>
                <w:bCs/>
              </w:rPr>
            </w:pPr>
            <w:r>
              <w:rPr>
                <w:b/>
                <w:bCs/>
              </w:rPr>
              <w:t>$9,900</w:t>
            </w:r>
          </w:p>
        </w:tc>
        <w:tc>
          <w:tcPr>
            <w:tcW w:w="1227" w:type="dxa"/>
            <w:tcBorders>
              <w:top w:val="single" w:sz="6" w:space="0" w:color="000000"/>
              <w:start w:val="single" w:sz="6" w:space="0" w:color="000000"/>
              <w:bottom w:val="single" w:sz="12" w:space="0" w:color="000000"/>
              <w:end w:val="single" w:sz="6" w:space="0" w:color="000000"/>
            </w:tcBorders>
          </w:tcPr>
          <w:p>
            <w:pPr>
              <w:pStyle w:val="Normal"/>
              <w:jc w:val="end"/>
              <w:rPr>
                <w:b/>
                <w:bCs/>
              </w:rPr>
            </w:pPr>
            <w:r>
              <w:rPr>
                <w:b/>
                <w:bCs/>
              </w:rPr>
              <w:t>$29,907</w:t>
            </w:r>
          </w:p>
        </w:tc>
        <w:tc>
          <w:tcPr>
            <w:tcW w:w="1372" w:type="dxa"/>
            <w:tcBorders>
              <w:top w:val="single" w:sz="6" w:space="0" w:color="000000"/>
              <w:start w:val="single" w:sz="6" w:space="0" w:color="000000"/>
              <w:bottom w:val="single" w:sz="12" w:space="0" w:color="000000"/>
              <w:end w:val="single" w:sz="6" w:space="0" w:color="000000"/>
            </w:tcBorders>
          </w:tcPr>
          <w:p>
            <w:pPr>
              <w:pStyle w:val="Normal"/>
              <w:jc w:val="end"/>
              <w:rPr>
                <w:b/>
                <w:bCs/>
              </w:rPr>
            </w:pPr>
            <w:r>
              <w:rPr>
                <w:b/>
                <w:bCs/>
              </w:rPr>
              <w:t>$35,898.5</w:t>
            </w:r>
          </w:p>
        </w:tc>
        <w:tc>
          <w:tcPr>
            <w:tcW w:w="1220" w:type="dxa"/>
            <w:tcBorders>
              <w:top w:val="single" w:sz="6" w:space="0" w:color="000000"/>
              <w:start w:val="single" w:sz="6" w:space="0" w:color="000000"/>
              <w:bottom w:val="single" w:sz="12" w:space="0" w:color="000000"/>
              <w:end w:val="single" w:sz="12" w:space="0" w:color="000000"/>
            </w:tcBorders>
          </w:tcPr>
          <w:p>
            <w:pPr>
              <w:pStyle w:val="Normal"/>
              <w:jc w:val="end"/>
              <w:rPr>
                <w:b/>
                <w:bCs/>
              </w:rPr>
            </w:pPr>
            <w:r>
              <w:rPr>
                <w:b/>
                <w:bCs/>
              </w:rPr>
              <w:t>$104,045</w:t>
            </w:r>
          </w:p>
        </w:tc>
      </w:tr>
    </w:tbl>
    <w:p>
      <w:pPr>
        <w:pStyle w:val="Normal"/>
        <w:jc w:val="both"/>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szCs w:val="16"/>
      </w:rPr>
      <w:fldChar w:fldCharType="begin"/>
    </w:r>
    <w:r>
      <w:rPr>
        <w:sz w:val="16"/>
        <w:szCs w:val="16"/>
        <w:rFonts w:cs="Arial" w:ascii="Arial" w:hAnsi="Arial"/>
      </w:rPr>
      <w:instrText xml:space="preserve"> FILENAME \p </w:instrText>
    </w:r>
    <w:r>
      <w:rPr>
        <w:sz w:val="16"/>
        <w:szCs w:val="16"/>
        <w:rFonts w:cs="Arial" w:ascii="Arial" w:hAnsi="Arial"/>
      </w:rPr>
      <w:fldChar w:fldCharType="separate"/>
    </w:r>
    <w:r>
      <w:rPr>
        <w:sz w:val="16"/>
        <w:szCs w:val="16"/>
        <w:rFonts w:cs="Arial" w:ascii="Arial" w:hAnsi="Arial"/>
      </w:rPr>
      <w:t>/mnt/main-storage/datasets/enron-docs/doc/dash_ea_0307.doc</w:t>
    </w:r>
    <w:r>
      <w:rPr>
        <w:sz w:val="16"/>
        <w:szCs w:val="16"/>
        <w:rFonts w:cs="Arial" w:ascii="Arial" w:hAnsi="Arial"/>
      </w:rPr>
      <w:fldChar w:fldCharType="end"/>
    </w:r>
    <w:r>
      <w:rPr>
        <w:sz w:val="16"/>
        <w:szCs w:val="16"/>
      </w:rPr>
      <w:tab/>
    </w:r>
    <w:r>
      <w:rPr>
        <w:rFonts w:cs="Arial" w:ascii="Arial" w:hAnsi="Arial"/>
        <w:sz w:val="16"/>
        <w:szCs w:val="16"/>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pPr>
    <w:r>
      <w:rPr>
        <w:rFonts w:cs="Arial" w:ascii="Arial" w:hAnsi="Arial"/>
        <w:b/>
        <w:bCs/>
      </w:rPr>
      <w:t>RAC Deal Approval Sheet</w:t>
      <w:tab/>
      <w:t xml:space="preserve">                           </w:t>
    </w:r>
    <w:r>
      <w:rPr>
        <w:rFonts w:cs="Arial" w:ascii="Arial" w:hAnsi="Arial"/>
        <w:b/>
        <w:bCs/>
        <w:sz w:val="36"/>
      </w:rPr>
      <w:t xml:space="preserve">DRAFT    </w:t>
    </w:r>
    <w:r>
      <w:rPr>
        <w:rFonts w:cs="Arial" w:ascii="Arial" w:hAnsi="Arial"/>
        <w:b/>
        <w:bCs/>
      </w:rPr>
      <w:t xml:space="preserve">                                                                                  Pastoria Energy Facility (3)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48"/>
      </w:rPr>
    </w:pPr>
    <w:r>
      <w:rPr>
        <w:b/>
        <w:bCs/>
        <w:sz w:val="4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widowControl w:val="fals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ind w:hanging="0" w:start="0" w:end="-1196"/>
      <w:outlineLvl w:val="2"/>
    </w:pPr>
    <w:rPr>
      <w:b/>
      <w:bCs/>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bCs/>
    </w:rPr>
  </w:style>
  <w:style w:type="paragraph" w:styleId="Heading5">
    <w:name w:val="heading 5"/>
    <w:basedOn w:val="Normal"/>
    <w:next w:val="Normal"/>
    <w:qFormat/>
    <w:pPr>
      <w:keepNext w:val="true"/>
      <w:numPr>
        <w:ilvl w:val="4"/>
        <w:numId w:val="1"/>
      </w:numPr>
      <w:jc w:val="end"/>
      <w:outlineLvl w:val="4"/>
    </w:pPr>
    <w:rPr>
      <w:b/>
      <w:bCs/>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rFonts w:ascii="Arial" w:hAnsi="Arial" w:cs="Arial"/>
      <w:b/>
      <w:bCs/>
      <w:sz w:val="32"/>
      <w:szCs w:val="32"/>
    </w:rPr>
  </w:style>
  <w:style w:type="paragraph" w:styleId="Heading7">
    <w:name w:val="heading 7"/>
    <w:basedOn w:val="Normal"/>
    <w:next w:val="Normal"/>
    <w:qFormat/>
    <w:pPr>
      <w:keepNext w:val="true"/>
      <w:widowControl w:val="false"/>
      <w:numPr>
        <w:ilvl w:val="6"/>
        <w:numId w:val="1"/>
      </w:numPr>
      <w:outlineLvl w:val="6"/>
    </w:pPr>
    <w:rPr>
      <w:b/>
      <w:bCs/>
      <w:i/>
      <w:iCs/>
    </w:rPr>
  </w:style>
  <w:style w:type="paragraph" w:styleId="Heading8">
    <w:name w:val="heading 8"/>
    <w:basedOn w:val="Normal"/>
    <w:next w:val="Normal"/>
    <w:qFormat/>
    <w:pPr>
      <w:keepNext w:val="true"/>
      <w:numPr>
        <w:ilvl w:val="7"/>
        <w:numId w:val="1"/>
      </w:numPr>
      <w:jc w:val="both"/>
      <w:outlineLvl w:val="7"/>
    </w:pPr>
    <w:rPr>
      <w:rFonts w:ascii="Arial" w:hAnsi="Arial" w:cs="Arial"/>
      <w:b/>
      <w:bC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bCs/>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3z3">
    <w:name w:val="WW8Num3z3"/>
    <w:qFormat/>
    <w:rPr>
      <w:rFonts w:ascii="Symbol" w:hAnsi="Symbol"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8z3">
    <w:name w:val="WW8Num8z3"/>
    <w:qFormat/>
    <w:rPr>
      <w:rFonts w:ascii="Symbol" w:hAnsi="Symbol" w:cs="Times New Roman"/>
    </w:rPr>
  </w:style>
  <w:style w:type="character" w:styleId="WW8Num9z0">
    <w:name w:val="WW8Num9z0"/>
    <w:qFormat/>
    <w:rPr>
      <w:b w:val="false"/>
      <w:i w:val="false"/>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b w:val="false"/>
      <w:i w:val="false"/>
    </w:rPr>
  </w:style>
  <w:style w:type="character" w:styleId="WW8Num14z0">
    <w:name w:val="WW8Num14z0"/>
    <w:qFormat/>
    <w:rPr>
      <w:rFonts w:ascii="Symbol" w:hAnsi="Symbol" w:cs="Times New Roman"/>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Times New Roman"/>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Times New Roman"/>
    </w:rPr>
  </w:style>
  <w:style w:type="character" w:styleId="WW8Num18z3">
    <w:name w:val="WW8Num18z3"/>
    <w:qFormat/>
    <w:rPr>
      <w:rFonts w:ascii="Symbol" w:hAnsi="Symbol" w:cs="Times New Roman"/>
    </w:rPr>
  </w:style>
  <w:style w:type="character" w:styleId="WW8Num19z0">
    <w:name w:val="WW8Num19z0"/>
    <w:qFormat/>
    <w:rPr>
      <w:rFonts w:ascii="Symbol" w:hAnsi="Symbol"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Times New Roman"/>
    </w:rPr>
  </w:style>
  <w:style w:type="character" w:styleId="WW8Num20z0">
    <w:name w:val="WW8Num20z0"/>
    <w:qFormat/>
    <w:rPr>
      <w:rFonts w:ascii="Symbol" w:hAnsi="Symbol" w:cs="Times New Roman"/>
    </w:rPr>
  </w:style>
  <w:style w:type="character" w:styleId="WW8Num21z0">
    <w:name w:val="WW8Num21z0"/>
    <w:qFormat/>
    <w:rPr>
      <w:rFonts w:ascii="Wingdings" w:hAnsi="Wingdings" w:cs="Times New Roman"/>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Times New Roman"/>
    </w:rPr>
  </w:style>
  <w:style w:type="character" w:styleId="WW8Num28z0">
    <w:name w:val="WW8Num28z0"/>
    <w:qFormat/>
    <w:rPr>
      <w:rFonts w:ascii="Symbol" w:hAnsi="Symbol"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Times New Roman"/>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Times New Roman"/>
    </w:rPr>
  </w:style>
  <w:style w:type="character" w:styleId="WW8Num30z3">
    <w:name w:val="WW8Num30z3"/>
    <w:qFormat/>
    <w:rPr>
      <w:rFonts w:ascii="Symbol" w:hAnsi="Symbol" w:cs="Times New Roman"/>
    </w:rPr>
  </w:style>
  <w:style w:type="character" w:styleId="WW8Num32z0">
    <w:name w:val="WW8Num32z0"/>
    <w:qFormat/>
    <w:rPr>
      <w:rFonts w:ascii="Symbol" w:hAnsi="Symbol" w:cs="Times New Roman"/>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Times New Roman"/>
    </w:rPr>
  </w:style>
  <w:style w:type="character" w:styleId="WW8Num37z3">
    <w:name w:val="WW8Num37z3"/>
    <w:qFormat/>
    <w:rPr>
      <w:rFonts w:ascii="Symbol" w:hAnsi="Symbol" w:cs="Times New Roman"/>
    </w:rPr>
  </w:style>
  <w:style w:type="character" w:styleId="WW8Num38z0">
    <w:name w:val="WW8Num38z0"/>
    <w:qFormat/>
    <w:rPr>
      <w:rFonts w:ascii="Symbol" w:hAnsi="Symbol"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Times New Roman"/>
    </w:rPr>
  </w:style>
  <w:style w:type="character" w:styleId="WW8Num39z0">
    <w:name w:val="WW8Num39z0"/>
    <w:qFormat/>
    <w:rPr>
      <w:rFonts w:ascii="Symbol" w:hAnsi="Symbol"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Times New Roman"/>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tabs>
        <w:tab w:val="clear" w:pos="720"/>
        <w:tab w:val="left" w:pos="360" w:leader="none"/>
      </w:tabs>
      <w:jc w:val="center"/>
      <w:outlineLvl w:val="0"/>
    </w:pPr>
    <w:rPr>
      <w:rFonts w:ascii="Arial" w:hAnsi="Arial" w:cs="Arial"/>
      <w:b/>
      <w:bCs/>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3">
    <w:name w:val="Body Text 3"/>
    <w:basedOn w:val="Normal"/>
    <w:qFormat/>
    <w:pPr>
      <w:widowControl w:val="false"/>
    </w:pPr>
    <w:rPr>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1"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2001-03-07T21:03:00Z</dcterms:created>
  <dc:creator>mruane</dc:creator>
  <dc:description/>
  <dc:language>en-CA</dc:language>
  <cp:lastModifiedBy>rcoker</cp:lastModifiedBy>
  <cp:lastPrinted>2001-03-07T13:43:00Z</cp:lastPrinted>
  <dcterms:modified xsi:type="dcterms:W3CDTF">2001-03-07T21:04:00Z</dcterms:modified>
  <cp:revision>3</cp:revision>
  <dc:subject/>
  <dc:title>ENRON RISK ASSESSMENT AND CONTROL</dc:title>
</cp:coreProperties>
</file>