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92964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9640" cy="914400"/>
                    </a:xfrm>
                    <a:prstGeom prst="rect">
                      <a:avLst/>
                    </a:prstGeom>
                    <a:noFill/>
                  </pic:spPr>
                </pic:pic>
              </a:graphicData>
            </a:graphic>
          </wp:inline>
        </w:drawing>
      </w:r>
      <w:r>
        <w:rPr/>
        <w:tab/>
      </w:r>
      <w:r>
        <w:rPr>
          <w:rFonts w:cs="Arial Black" w:ascii="Arial Black" w:hAnsi="Arial Black"/>
        </w:rPr>
        <w:t xml:space="preserve">Enron Transportation </w:t>
      </w:r>
    </w:p>
    <w:p>
      <w:pPr>
        <w:pStyle w:val="Normal"/>
        <w:ind w:firstLine="720" w:start="1440" w:end="0"/>
        <w:rPr>
          <w:rFonts w:ascii="Arial Black" w:hAnsi="Arial Black" w:cs="Arial Black"/>
        </w:rPr>
      </w:pPr>
      <w:r>
        <w:rPr>
          <w:rFonts w:cs="Arial Black" w:ascii="Arial Black" w:hAnsi="Arial Black"/>
        </w:rPr>
        <w:t>&amp; Storage</w:t>
      </w:r>
    </w:p>
    <w:p>
      <w:pPr>
        <w:pStyle w:val="Normal"/>
        <w:rPr>
          <w:rFonts w:ascii="Arial Black" w:hAnsi="Arial Black" w:cs="Arial Black"/>
        </w:rPr>
      </w:pPr>
      <w:r>
        <w:rPr>
          <w:rFonts w:cs="Arial Black" w:ascii="Arial Black" w:hAnsi="Arial Black"/>
        </w:rPr>
      </w:r>
    </w:p>
    <w:p>
      <w:pPr>
        <w:pStyle w:val="Normal"/>
        <w:ind w:firstLine="720" w:start="1440" w:end="0"/>
        <w:rPr/>
      </w:pPr>
      <w:r>
        <w:rPr/>
        <w:tab/>
        <w:tab/>
        <w:tab/>
        <w:tab/>
      </w:r>
      <w:r>
        <w:rPr>
          <w:i/>
        </w:rPr>
        <w:t>Attorney Work Product</w:t>
      </w:r>
    </w:p>
    <w:p>
      <w:pPr>
        <w:pStyle w:val="Heading1"/>
        <w:ind w:hanging="0" w:start="0"/>
        <w:rPr/>
      </w:pPr>
      <w:r>
        <w:rPr/>
        <w:tab/>
        <w:tab/>
        <w:tab/>
        <w:tab/>
        <w:tab/>
        <w:tab/>
        <w:tab/>
      </w:r>
      <w:r>
        <w:rPr>
          <w:sz w:val="20"/>
        </w:rPr>
        <w:t>Privileged &amp; Confidential</w:t>
      </w:r>
    </w:p>
    <w:p>
      <w:pPr>
        <w:pStyle w:val="Normal"/>
        <w:rPr>
          <w:sz w:val="20"/>
        </w:rPr>
      </w:pPr>
      <w:r>
        <w:rPr>
          <w:sz w:val="20"/>
        </w:rPr>
      </w:r>
    </w:p>
    <w:p>
      <w:pPr>
        <w:pStyle w:val="Normal"/>
        <w:rPr/>
      </w:pPr>
      <w:r>
        <w:rPr/>
      </w:r>
    </w:p>
    <w:p>
      <w:pPr>
        <w:pStyle w:val="Normal"/>
        <w:rPr/>
      </w:pPr>
      <w:r>
        <w:rPr/>
      </w:r>
    </w:p>
    <w:p>
      <w:pPr>
        <w:pStyle w:val="Normal"/>
        <w:rPr/>
      </w:pPr>
      <w:r>
        <w:rPr/>
        <w:t xml:space="preserve">To:  </w:t>
        <w:tab/>
        <w:t>Drew Fossum</w:t>
      </w:r>
    </w:p>
    <w:p>
      <w:pPr>
        <w:pStyle w:val="Normal"/>
        <w:rPr/>
      </w:pPr>
      <w:r>
        <w:rPr/>
      </w:r>
    </w:p>
    <w:p>
      <w:pPr>
        <w:pStyle w:val="Normal"/>
        <w:rPr/>
      </w:pPr>
      <w:r>
        <w:rPr/>
        <w:t>From:</w:t>
        <w:tab/>
        <w:t>Susan Scott</w:t>
      </w:r>
    </w:p>
    <w:p>
      <w:pPr>
        <w:pStyle w:val="Normal"/>
        <w:rPr/>
      </w:pPr>
      <w:r>
        <w:rPr/>
      </w:r>
    </w:p>
    <w:p>
      <w:pPr>
        <w:pStyle w:val="Normal"/>
        <w:rPr/>
      </w:pPr>
      <w:r>
        <w:rPr/>
        <w:t>Subject:</w:t>
        <w:tab/>
        <w:t xml:space="preserve">PG&amp;E/Topock issues (Transwestern Pipeline) </w:t>
      </w:r>
    </w:p>
    <w:p>
      <w:pPr>
        <w:pStyle w:val="Normal"/>
        <w:rPr/>
      </w:pPr>
      <w:r>
        <w:rPr/>
      </w:r>
    </w:p>
    <w:p>
      <w:pPr>
        <w:pStyle w:val="Normal"/>
        <w:rPr/>
      </w:pPr>
      <w:r>
        <w:rPr/>
        <w:t>Date:</w:t>
        <w:tab/>
        <w:t>January 11, 2000</w:t>
      </w:r>
    </w:p>
    <w:p>
      <w:pPr>
        <w:pStyle w:val="Normal"/>
        <w:rPr/>
      </w:pPr>
      <w:r>
        <w:rPr/>
      </w:r>
    </w:p>
    <w:p>
      <w:pPr>
        <w:pStyle w:val="Normal"/>
        <w:rPr/>
      </w:pPr>
      <w:r>
        <w:rPr/>
      </w:r>
    </w:p>
    <w:p>
      <w:pPr>
        <w:pStyle w:val="BodyText"/>
        <w:rPr/>
      </w:pPr>
      <w:r>
        <w:rPr/>
        <w:tab/>
        <w:t xml:space="preserve">Transwestern is working to eliminate the PCBs that continue to be present at the PG&amp;E/Topock interconnect.  Although current contaminant levels have triggered PG&amp;E's right under the Interconnect Agreement and the Operator Agreement to refuse to accept gas at the point, PG&amp;E has agreed to accept deliveries of gas up to 250 MMcf/d (as described more fully in Rod Boschee's August 5, 1999 letter to Michel Nelson of ET&amp;S) until the PCB issue is completely resolved, other modifications are made to the interconnect, and PG&amp;E is satisfied that PCB levels are below 1 ppm and are stabilized at that level. </w:t>
      </w:r>
    </w:p>
    <w:p>
      <w:pPr>
        <w:pStyle w:val="Normal"/>
        <w:rPr/>
      </w:pPr>
      <w:r>
        <w:rPr/>
      </w:r>
    </w:p>
    <w:p>
      <w:pPr>
        <w:pStyle w:val="BodyText"/>
        <w:rPr/>
      </w:pPr>
      <w:r>
        <w:rPr/>
        <w:tab/>
        <w:t>Current firm contracts on Transwestern provide for delivery of 250 MMcf/d of gas to Topock.  In the context of its Gallup expansion, Transwestern has entered into firm contracts for an additional 40 MMcf/d to Topock  Once the Gallup expansion is built, Transwestern will have a total of 290 MMcf/d of firm capacity under contract to the Topock delivery point:  40 MMcf/d more than PG&amp;E has agreed to accept while PCBs continue to be present.</w:t>
      </w:r>
    </w:p>
    <w:p>
      <w:pPr>
        <w:pStyle w:val="Normal"/>
        <w:rPr/>
      </w:pPr>
      <w:r>
        <w:rPr/>
      </w:r>
    </w:p>
    <w:p>
      <w:pPr>
        <w:pStyle w:val="BodyText"/>
        <w:rPr/>
      </w:pPr>
      <w:r>
        <w:rPr/>
        <w:tab/>
        <w:t>This situation raises at least two legal questions:</w:t>
      </w:r>
    </w:p>
    <w:p>
      <w:pPr>
        <w:pStyle w:val="BodyText"/>
        <w:rPr/>
      </w:pPr>
      <w:r>
        <w:rPr/>
      </w:r>
    </w:p>
    <w:p>
      <w:pPr>
        <w:pStyle w:val="BodyText"/>
        <w:rPr>
          <w:b/>
        </w:rPr>
      </w:pPr>
      <w:r>
        <w:rPr>
          <w:b/>
        </w:rPr>
        <w:tab/>
        <w:t>Q1:  What are Transwestern's rights if the PCB level is reduced below 1 ppm and PG&amp;E still refuses to accept deliveries of gas?</w:t>
      </w:r>
    </w:p>
    <w:p>
      <w:pPr>
        <w:pStyle w:val="BodyText"/>
        <w:rPr>
          <w:b/>
        </w:rPr>
      </w:pPr>
      <w:r>
        <w:rPr>
          <w:b/>
        </w:rPr>
      </w:r>
    </w:p>
    <w:p>
      <w:pPr>
        <w:pStyle w:val="BodyText"/>
        <w:rPr/>
      </w:pPr>
      <w:r>
        <w:rPr/>
        <w:tab/>
      </w:r>
      <w:r>
        <w:rPr>
          <w:b/>
        </w:rPr>
        <w:t>A1:</w:t>
      </w:r>
      <w:r>
        <w:rPr/>
        <w:t xml:space="preserve"> </w:t>
      </w:r>
      <w:r>
        <w:rPr>
          <w:b/>
        </w:rPr>
        <w:t>Under the existing agreements with PG&amp;E, PG&amp;E has no legal obligation to ever accept any gas from Transwestern.</w:t>
      </w:r>
    </w:p>
    <w:p>
      <w:pPr>
        <w:pStyle w:val="BodyText"/>
        <w:rPr/>
      </w:pPr>
      <w:r>
        <w:rPr/>
      </w:r>
    </w:p>
    <w:p>
      <w:pPr>
        <w:pStyle w:val="BodyText"/>
        <w:rPr/>
      </w:pPr>
      <w:r>
        <w:rPr/>
        <w:tab/>
        <w:t>Neither the Operator Agreement nor the Interconnect Agreement between Transwestern and PG&amp;E specifies a quantity of gas that PG&amp;E is obligated to accept at the interconnect. In fact, the agreements do not expressly obligate PG&amp;E to accept any gas.</w:t>
      </w:r>
      <w:r>
        <w:rPr>
          <w:rStyle w:val="FootnoteCharacters"/>
          <w:rStyle w:val="FootnoteReference"/>
        </w:rPr>
        <w:footnoteReference w:id="2"/>
      </w:r>
      <w:r>
        <w:rPr/>
        <w:t xml:space="preserve">  PG&amp;E can refuse to confirm gas at Topock at any time without incurring any liability to Transwestern, and  this is a risk Transwestern faces every day. However, in reality PG&amp;E very rarely refuses to accept gas, and only does so with regard to very small quantities of gas.  This is because PG&amp;E's must meet the demands of both its shippers that transport gas on the PG&amp;E system and PG&amp;E's own end users.  Whether PG&amp;E refuses delivery at Topock has rarely been an issue, as the nature of the business dictates that shipper nominations on Transwestern match the nominations of those same shippers that have firm rights on PG&amp;E's system.  On the other hand, Transwestern frequently has to allocate confirmed quantities at SoCal Needles because of SoCal's windowing of shippers and because SoCal also has no obligation to Transwestern to take delivery of any gas.  By contrast, shippers on PG&amp;E are not subject to windowing and are able to obtain firm rights at receipt and delivery points on PG&amp;E. </w:t>
      </w:r>
    </w:p>
    <w:p>
      <w:pPr>
        <w:pStyle w:val="BodyText"/>
        <w:rPr/>
      </w:pPr>
      <w:r>
        <w:rPr/>
      </w:r>
    </w:p>
    <w:p>
      <w:pPr>
        <w:pStyle w:val="BodyText"/>
        <w:rPr/>
      </w:pPr>
      <w:r>
        <w:rPr/>
        <w:tab/>
        <w:t xml:space="preserve">The Operator and Interconnect Agreements with PG&amp;E contain provisions allowing PG&amp;E to refuse delivery of gas in the context of the current PCB problem.  However, the end result is that PG&amp;E's rights are essentially no different than described above, and it can refuse to accept gas at any time.  The Operator Agreement provides in Section 8.1 (and the 1992 Interconnect Agreement provides at Section 7.1), that if gas delivered by Transwestern to the interconnect point exceeds the PCB Threshold PG&amp;E may at its option refuse to accept further delivery of gas pending correction by Transwestern.  Section 8.2 of the Operator Agreement (and Section 7.2 of the Interconnect Agreement) provides that PG&amp;E may take any reasonable action, measured in accordance with commonly accepted standards of care and practice in the natural gas pipeline industry in California, to protect its pipeline system from contamination by PCBs.  Except in emergency situations the parties must use reasonable efforts to agree on a course of action; however, the agreement expressly states that PG&amp;E is not obligated to secure Transwestern's agreement before taking action.  </w:t>
      </w:r>
    </w:p>
    <w:p>
      <w:pPr>
        <w:pStyle w:val="BodyText"/>
        <w:rPr/>
      </w:pPr>
      <w:r>
        <w:rPr/>
      </w:r>
    </w:p>
    <w:p>
      <w:pPr>
        <w:pStyle w:val="BodyText"/>
        <w:rPr/>
      </w:pPr>
      <w:r>
        <w:rPr/>
        <w:tab/>
        <w:t xml:space="preserve">As mentioned earlier, because testing continues to show PCB levels above 1 ppm, PG&amp;E has elected to refuse to accept deliveries of more than 250 MMcf/day, which it clearly has a right to do.  PG&amp;E is also insisting that certain modifications be made to the interconnect before it will accept additional gas, and that it be satisfied that PCB levels are stabilized at 1 ppm. Transwestern, in meetings with PG&amp;E, has verbally agreed to restrict deliveries until the conditions outlined in the August 1999 letter are met. In any event, even when the PCB levels have been stabilized PG&amp;E could refuse to accept gas from Transwestern at Topock without incurring any liability to Transwestern.  However, this scenario is unlikely to occur under current market conditions.   </w:t>
      </w:r>
    </w:p>
    <w:p>
      <w:pPr>
        <w:pStyle w:val="BodyText"/>
        <w:rPr/>
      </w:pPr>
      <w:r>
        <w:rPr/>
      </w:r>
    </w:p>
    <w:p>
      <w:pPr>
        <w:pStyle w:val="BodyText"/>
        <w:rPr>
          <w:b/>
        </w:rPr>
      </w:pPr>
      <w:r>
        <w:rPr>
          <w:b/>
        </w:rPr>
        <w:tab/>
        <w:t>Q2.  What is Transwestern's potential liability to shippers if PG&amp;E's refusal to accept deliveries due to the continued presence of contaminants causes Transwestern to have to curtail firm service at PG&amp;E/Topock?</w:t>
      </w:r>
    </w:p>
    <w:p>
      <w:pPr>
        <w:pStyle w:val="BodyText"/>
        <w:rPr>
          <w:b/>
        </w:rPr>
      </w:pPr>
      <w:r>
        <w:rPr>
          <w:b/>
        </w:rPr>
      </w:r>
    </w:p>
    <w:p>
      <w:pPr>
        <w:pStyle w:val="BodyText"/>
        <w:rPr/>
      </w:pPr>
      <w:r>
        <w:rPr/>
        <w:tab/>
      </w:r>
      <w:r>
        <w:rPr>
          <w:b/>
        </w:rPr>
        <w:t>A2.</w:t>
      </w:r>
      <w:r>
        <w:rPr/>
        <w:t xml:space="preserve"> </w:t>
      </w:r>
      <w:r>
        <w:rPr>
          <w:b/>
        </w:rPr>
        <w:t>Transwestern's tariff provides for a reservation charge refund but does not limit the damages that could be sought by a shipper.</w:t>
      </w:r>
      <w:r>
        <w:rPr/>
        <w:t xml:space="preserve">  </w:t>
      </w:r>
    </w:p>
    <w:p>
      <w:pPr>
        <w:pStyle w:val="BodyText"/>
        <w:rPr/>
      </w:pPr>
      <w:r>
        <w:rPr/>
      </w:r>
    </w:p>
    <w:p>
      <w:pPr>
        <w:pStyle w:val="BodyText"/>
        <w:rPr/>
      </w:pPr>
      <w:r>
        <w:rPr/>
        <w:tab/>
        <w:t>Rate Schedule FTS-1 specifically provides for a reservation charge refund if Transwestern fails to deliver gas for a firm shipper.  In December, January, February, July and August, the shipper is entitled to a reservation charge refund for all nominated and confirmed quantities not delivered.  In all other months, the shipper is entitled to a refund only if deliveries fall below 75% of nominated/confirmed quantities for a period of 75 consecutive days.  (The relevant tariff provisions are attached.) The tariff does not preclude a shipper from seeking other damages resulting from Transwestern's failure to provide service under an FTS-1 contract.  A shipper whose firm service is curtailed would likely incur damages in addition to the reservation charge, including, for example, the cost of buying spot gas or damages resulting from the shipper's inability to fulfill contractual obligations. Such damages could be recovered in a breach of contract action.  Not all shippers would incur such damages because some might be willing to take delivery of gas at alternate points if capacity is available at such points.</w:t>
      </w:r>
    </w:p>
    <w:p>
      <w:pPr>
        <w:pStyle w:val="BodyText"/>
        <w:rPr/>
      </w:pPr>
      <w:r>
        <w:rPr/>
      </w:r>
    </w:p>
    <w:p>
      <w:pPr>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pStyle w:val="Normal"/>
        <w:rPr/>
      </w:pPr>
      <w:r>
        <w:rPr/>
      </w:r>
    </w:p>
    <w:p>
      <w:pPr>
        <w:pStyle w:val="Normal"/>
        <w:rPr>
          <w:b/>
        </w:rPr>
      </w:pPr>
      <w:r>
        <w:rPr>
          <w:b/>
        </w:rPr>
        <w:t>Transwestern Tariff Provisions Pertaining to FTS-1 Shippers' Damages</w:t>
      </w:r>
    </w:p>
    <w:p>
      <w:pPr>
        <w:pStyle w:val="Normal"/>
        <w:rPr>
          <w:b/>
        </w:rPr>
      </w:pPr>
      <w:r>
        <w:rPr>
          <w:b/>
        </w:rPr>
      </w:r>
    </w:p>
    <w:p>
      <w:pPr>
        <w:pStyle w:val="Normal"/>
        <w:rPr/>
      </w:pPr>
      <w:r>
        <w:rPr/>
        <w:t>TW Tariff, 7</w:t>
      </w:r>
      <w:r>
        <w:rPr>
          <w:vertAlign w:val="superscript"/>
        </w:rPr>
        <w:t>th</w:t>
      </w:r>
      <w:r>
        <w:rPr/>
        <w:t xml:space="preserve"> Revised Sheet No. 8:</w:t>
      </w:r>
    </w:p>
    <w:p>
      <w:pPr>
        <w:pStyle w:val="Normal"/>
        <w:rPr/>
      </w:pPr>
      <w:r>
        <w:rPr/>
        <w:t>. . .</w:t>
      </w:r>
    </w:p>
    <w:p>
      <w:pPr>
        <w:pStyle w:val="Normal"/>
        <w:rPr/>
      </w:pPr>
      <w:r>
        <w:rPr/>
        <w:t xml:space="preserve">3.2 (a) Except as provided in Section 3.2(c), the Reservation Charge that Shipper </w:t>
      </w:r>
    </w:p>
    <w:p>
      <w:pPr>
        <w:pStyle w:val="Normal"/>
        <w:rPr/>
      </w:pPr>
      <w:r>
        <w:rPr/>
        <w:t xml:space="preserve">           </w:t>
      </w:r>
      <w:r>
        <w:rPr/>
        <w:t>pays to Transporter under this Rate Schedule shall be reduced at Shipper's</w:t>
      </w:r>
    </w:p>
    <w:p>
      <w:pPr>
        <w:pStyle w:val="Normal"/>
        <w:rPr/>
      </w:pPr>
      <w:r>
        <w:rPr/>
        <w:t xml:space="preserve">           </w:t>
      </w:r>
      <w:r>
        <w:rPr/>
        <w:t xml:space="preserve">election for any failure by Transporter to deliver the quantities of gas </w:t>
      </w:r>
    </w:p>
    <w:p>
      <w:pPr>
        <w:pStyle w:val="Normal"/>
        <w:rPr/>
      </w:pPr>
      <w:r>
        <w:rPr/>
        <w:t xml:space="preserve">           </w:t>
      </w:r>
      <w:r>
        <w:rPr/>
        <w:t xml:space="preserve">that have been nominated and confirmed in accordance with Section 22 of </w:t>
      </w:r>
    </w:p>
    <w:p>
      <w:pPr>
        <w:pStyle w:val="Normal"/>
        <w:rPr/>
      </w:pPr>
      <w:r>
        <w:rPr/>
        <w:t xml:space="preserve">           </w:t>
      </w:r>
      <w:r>
        <w:rPr/>
        <w:t xml:space="preserve">the General Terms and Conditions of this Tariff (up to the aggregate </w:t>
      </w:r>
    </w:p>
    <w:p>
      <w:pPr>
        <w:pStyle w:val="Normal"/>
        <w:rPr/>
      </w:pPr>
      <w:r>
        <w:rPr/>
        <w:t xml:space="preserve">           </w:t>
      </w:r>
      <w:r>
        <w:rPr/>
        <w:t xml:space="preserve">MAXDTQ), less Transport Fuel, during the calendar months of December, </w:t>
      </w:r>
    </w:p>
    <w:p>
      <w:pPr>
        <w:pStyle w:val="Normal"/>
        <w:rPr/>
      </w:pPr>
      <w:r>
        <w:rPr/>
        <w:t xml:space="preserve">           </w:t>
      </w:r>
      <w:r>
        <w:rPr/>
        <w:t xml:space="preserve">January, February, July, and August.  The reduction shall be calculated </w:t>
      </w:r>
    </w:p>
    <w:p>
      <w:pPr>
        <w:pStyle w:val="Normal"/>
        <w:rPr/>
      </w:pPr>
      <w:r>
        <w:rPr/>
        <w:t xml:space="preserve">           </w:t>
      </w:r>
      <w:r>
        <w:rPr/>
        <w:t xml:space="preserve">based upon the ratio of (i) the volume of gas that had been nominated and </w:t>
      </w:r>
    </w:p>
    <w:p>
      <w:pPr>
        <w:pStyle w:val="Normal"/>
        <w:rPr/>
      </w:pPr>
      <w:r>
        <w:rPr/>
        <w:t xml:space="preserve">           </w:t>
      </w:r>
      <w:r>
        <w:rPr/>
        <w:t xml:space="preserve">confirmed, less Transport Fuel, but not delivered during the month to (ii) </w:t>
      </w:r>
    </w:p>
    <w:p>
      <w:pPr>
        <w:pStyle w:val="Normal"/>
        <w:rPr/>
      </w:pPr>
      <w:r>
        <w:rPr/>
        <w:t xml:space="preserve">           </w:t>
      </w:r>
      <w:r>
        <w:rPr/>
        <w:t xml:space="preserve">the total volumes of gas nominated and confirmed during the month, less </w:t>
      </w:r>
    </w:p>
    <w:p>
      <w:pPr>
        <w:pStyle w:val="Normal"/>
        <w:rPr/>
      </w:pPr>
      <w:r>
        <w:rPr/>
        <w:t xml:space="preserve">           </w:t>
      </w:r>
      <w:r>
        <w:rPr/>
        <w:t xml:space="preserve">Transport Fuel, times (iii) the total Reservation Charge owed Transporter </w:t>
      </w:r>
    </w:p>
    <w:p>
      <w:pPr>
        <w:pStyle w:val="Normal"/>
        <w:rPr/>
      </w:pPr>
      <w:r>
        <w:rPr/>
        <w:t xml:space="preserve">           </w:t>
      </w:r>
      <w:r>
        <w:rPr/>
        <w:t>for that month.</w:t>
      </w:r>
    </w:p>
    <w:p>
      <w:pPr>
        <w:pStyle w:val="Normal"/>
        <w:rPr/>
      </w:pPr>
      <w:r>
        <w:rPr/>
      </w:r>
    </w:p>
    <w:p>
      <w:pPr>
        <w:pStyle w:val="Normal"/>
        <w:rPr/>
      </w:pPr>
      <w:r>
        <w:rPr/>
        <w:t>TW Tariff, 4</w:t>
      </w:r>
      <w:r>
        <w:rPr>
          <w:vertAlign w:val="superscript"/>
        </w:rPr>
        <w:t>th</w:t>
      </w:r>
      <w:r>
        <w:rPr/>
        <w:t xml:space="preserve"> Revised Sheet No. 9:</w:t>
      </w:r>
    </w:p>
    <w:p>
      <w:pPr>
        <w:pStyle w:val="Normal"/>
        <w:rPr/>
      </w:pPr>
      <w:r>
        <w:rPr/>
      </w:r>
    </w:p>
    <w:p>
      <w:pPr>
        <w:pStyle w:val="Normal"/>
        <w:rPr/>
      </w:pPr>
      <w:r>
        <w:rPr/>
        <w:tab/>
        <w:t xml:space="preserve">(b) Except as provided in Section 3.2(c), Transporter shall attempt to </w:t>
      </w:r>
    </w:p>
    <w:p>
      <w:pPr>
        <w:pStyle w:val="FootnoteText"/>
        <w:rPr/>
      </w:pPr>
      <w:r>
        <w:rPr/>
        <w:t xml:space="preserve">           </w:t>
      </w:r>
      <w:r>
        <w:rPr/>
        <w:t xml:space="preserve">schedule maintenance of its facilities during months not enumerated </w:t>
      </w:r>
    </w:p>
    <w:p>
      <w:pPr>
        <w:pStyle w:val="Normal"/>
        <w:rPr/>
      </w:pPr>
      <w:r>
        <w:rPr/>
        <w:t xml:space="preserve">           </w:t>
      </w:r>
      <w:r>
        <w:rPr/>
        <w:t xml:space="preserve">under paragraph 3.2(a); however, if Transporter's deliveries of gas </w:t>
      </w:r>
    </w:p>
    <w:p>
      <w:pPr>
        <w:pStyle w:val="Normal"/>
        <w:rPr/>
      </w:pPr>
      <w:r>
        <w:rPr/>
        <w:t xml:space="preserve">           </w:t>
      </w:r>
      <w:r>
        <w:rPr/>
        <w:t xml:space="preserve">to Shipper during such months of quantities nominated and confirmed </w:t>
      </w:r>
    </w:p>
    <w:p>
      <w:pPr>
        <w:pStyle w:val="Normal"/>
        <w:rPr/>
      </w:pPr>
      <w:r>
        <w:rPr/>
        <w:t xml:space="preserve">           </w:t>
      </w:r>
      <w:r>
        <w:rPr/>
        <w:t>(up to the aggregate MAXDTQ), less Transport Fuel, fall below seventy-</w:t>
      </w:r>
    </w:p>
    <w:p>
      <w:pPr>
        <w:pStyle w:val="Normal"/>
        <w:rPr/>
      </w:pPr>
      <w:r>
        <w:rPr/>
        <w:t xml:space="preserve">           </w:t>
      </w:r>
      <w:r>
        <w:rPr/>
        <w:t xml:space="preserve">five percent (75%) of such quantities for a period of seventy-five </w:t>
      </w:r>
    </w:p>
    <w:p>
      <w:pPr>
        <w:pStyle w:val="Normal"/>
        <w:rPr/>
      </w:pPr>
      <w:r>
        <w:rPr/>
        <w:t xml:space="preserve">           </w:t>
      </w:r>
      <w:r>
        <w:rPr/>
        <w:t xml:space="preserve">(75) consecutive days, the Reservation Charge applicable to such period </w:t>
      </w:r>
    </w:p>
    <w:p>
      <w:pPr>
        <w:pStyle w:val="Normal"/>
        <w:rPr/>
      </w:pPr>
      <w:r>
        <w:rPr/>
        <w:t xml:space="preserve">           </w:t>
      </w:r>
      <w:r>
        <w:rPr/>
        <w:t xml:space="preserve">shall be reduced and such reduction shall be calculated as provided in </w:t>
      </w:r>
    </w:p>
    <w:p>
      <w:pPr>
        <w:pStyle w:val="Normal"/>
        <w:rPr/>
      </w:pPr>
      <w:r>
        <w:rPr/>
        <w:t xml:space="preserve">           </w:t>
      </w:r>
      <w:r>
        <w:rPr/>
        <w:t>Section 3.2(a)(i), (ii) and (iii) above.</w:t>
      </w:r>
    </w:p>
    <w:p>
      <w:pPr>
        <w:pStyle w:val="Normal"/>
        <w:rPr/>
      </w:pPr>
      <w:r>
        <w:rPr/>
      </w:r>
    </w:p>
    <w:p>
      <w:pPr>
        <w:pStyle w:val="Normal"/>
        <w:rPr/>
      </w:pPr>
      <w:r>
        <w:rPr/>
        <w:tab/>
        <w:t xml:space="preserve">(c) The Reservation Charge reduction shall not, however, apply: (i) during </w:t>
      </w:r>
    </w:p>
    <w:p>
      <w:pPr>
        <w:pStyle w:val="Normal"/>
        <w:rPr/>
      </w:pPr>
      <w:r>
        <w:rPr/>
        <w:t xml:space="preserve">           </w:t>
      </w:r>
      <w:r>
        <w:rPr/>
        <w:t xml:space="preserve">periods of unscheduled maintenance not to exceed ten (10) days in any </w:t>
      </w:r>
    </w:p>
    <w:p>
      <w:pPr>
        <w:pStyle w:val="Normal"/>
        <w:rPr/>
      </w:pPr>
      <w:r>
        <w:rPr/>
        <w:t xml:space="preserve">           </w:t>
      </w:r>
      <w:r>
        <w:rPr/>
        <w:t xml:space="preserve">calendar quarter; (ii) during the occurrence of a "force majeure" event </w:t>
      </w:r>
    </w:p>
    <w:p>
      <w:pPr>
        <w:pStyle w:val="Normal"/>
        <w:rPr/>
      </w:pPr>
      <w:r>
        <w:rPr/>
        <w:t xml:space="preserve">           </w:t>
      </w:r>
      <w:r>
        <w:rPr/>
        <w:t xml:space="preserve">as set forth in Section 11.1 of the General Terms and Conditions of </w:t>
      </w:r>
    </w:p>
    <w:p>
      <w:pPr>
        <w:pStyle w:val="Normal"/>
        <w:rPr/>
      </w:pPr>
      <w:r>
        <w:rPr/>
        <w:t xml:space="preserve">           </w:t>
      </w:r>
      <w:r>
        <w:rPr/>
        <w:t>this Tariff (but only to the extent of such "force majeure"); (iii) to</w:t>
      </w:r>
    </w:p>
    <w:p>
      <w:pPr>
        <w:pStyle w:val="Normal"/>
        <w:rPr/>
      </w:pPr>
      <w:r>
        <w:rPr/>
        <w:t xml:space="preserve">           </w:t>
      </w:r>
      <w:r>
        <w:rPr/>
        <w:t xml:space="preserve">any failure by Transporter to deliver volumes nominated and confirmed </w:t>
      </w:r>
    </w:p>
    <w:p>
      <w:pPr>
        <w:pStyle w:val="Normal"/>
        <w:rPr/>
      </w:pPr>
      <w:r>
        <w:rPr/>
        <w:t xml:space="preserve">           </w:t>
      </w:r>
      <w:r>
        <w:rPr/>
        <w:t xml:space="preserve">in accordance with Section 22 of the General Terms and Conditions of </w:t>
      </w:r>
    </w:p>
    <w:p>
      <w:pPr>
        <w:pStyle w:val="Normal"/>
        <w:rPr/>
      </w:pPr>
      <w:r>
        <w:rPr/>
        <w:t xml:space="preserve">           </w:t>
      </w:r>
      <w:r>
        <w:rPr/>
        <w:t xml:space="preserve">this Tariff up to the aggregate MAXDTQ, which is attributable to the </w:t>
      </w:r>
    </w:p>
    <w:p>
      <w:pPr>
        <w:pStyle w:val="Normal"/>
        <w:rPr/>
      </w:pPr>
      <w:r>
        <w:rPr/>
        <w:t xml:space="preserve">           </w:t>
      </w:r>
      <w:r>
        <w:rPr/>
        <w:t xml:space="preserve">fault (including "force majeure") of Shipper or Shipper's suppliers; </w:t>
      </w:r>
    </w:p>
    <w:p>
      <w:pPr>
        <w:pStyle w:val="Normal"/>
        <w:rPr/>
      </w:pPr>
      <w:r>
        <w:rPr/>
        <w:t xml:space="preserve">           </w:t>
      </w:r>
      <w:r>
        <w:rPr/>
        <w:t xml:space="preserve">(iv) to the extent the Maximum Reservation Charge is discounted to </w:t>
      </w:r>
    </w:p>
    <w:p>
      <w:pPr>
        <w:pStyle w:val="Normal"/>
        <w:rPr/>
      </w:pPr>
      <w:r>
        <w:rPr/>
        <w:t xml:space="preserve">           </w:t>
      </w:r>
      <w:r>
        <w:rPr/>
        <w:t>Shipper; and/or (v) to the extent the volumes nominated and confirmed</w:t>
      </w:r>
    </w:p>
    <w:p>
      <w:pPr>
        <w:pStyle w:val="Normal"/>
        <w:rPr/>
      </w:pPr>
      <w:r>
        <w:rPr/>
        <w:t xml:space="preserve">           </w:t>
      </w:r>
      <w:r>
        <w:rPr/>
        <w:t xml:space="preserve">for delivery, less Transport Fuel, in accordance with Section 22 </w:t>
      </w:r>
    </w:p>
    <w:p>
      <w:pPr>
        <w:pStyle w:val="Normal"/>
        <w:rPr/>
      </w:pPr>
      <w:r>
        <w:rPr/>
        <w:t xml:space="preserve">           </w:t>
      </w:r>
      <w:r>
        <w:rPr/>
        <w:t>of the General Terms and Conditions of this Tariff (up to the aggregate</w:t>
      </w:r>
    </w:p>
    <w:p>
      <w:pPr>
        <w:pStyle w:val="Normal"/>
        <w:rPr/>
      </w:pPr>
      <w:r>
        <w:rPr/>
        <w:t xml:space="preserve">           </w:t>
      </w:r>
      <w:r>
        <w:rPr/>
        <w:t xml:space="preserve">MAXDTQ) exceeds actual quantities delivered, less Transport Fuel, </w:t>
      </w:r>
    </w:p>
    <w:p>
      <w:pPr>
        <w:pStyle w:val="Normal"/>
        <w:rPr/>
      </w:pPr>
      <w:r>
        <w:rPr/>
        <w:t xml:space="preserve">           </w:t>
      </w:r>
      <w:r>
        <w:rPr/>
        <w:t xml:space="preserve">by five percent (5%) or less, except as otherwise mutually agreed to </w:t>
      </w:r>
    </w:p>
    <w:p>
      <w:pPr>
        <w:pStyle w:val="Normal"/>
        <w:rPr/>
      </w:pPr>
      <w:r>
        <w:rPr/>
        <w:t xml:space="preserve">           </w:t>
      </w:r>
      <w:r>
        <w:rPr/>
        <w:t xml:space="preserve">by Shipper and Transporter.  Unscheduled maintenance shall mean </w:t>
      </w:r>
    </w:p>
    <w:p>
      <w:pPr>
        <w:pStyle w:val="Normal"/>
        <w:rPr/>
      </w:pPr>
      <w:r>
        <w:rPr/>
        <w:t xml:space="preserve">           </w:t>
      </w:r>
      <w:r>
        <w:rPr/>
        <w:t>unanticipated or unplanned maintenance on the pipeline system required</w:t>
      </w:r>
    </w:p>
    <w:p>
      <w:pPr>
        <w:pStyle w:val="Normal"/>
        <w:rPr/>
      </w:pPr>
      <w:r>
        <w:rPr/>
        <w:t xml:space="preserve">           </w:t>
      </w:r>
      <w:r>
        <w:rPr/>
        <w:t>to be performed to ensure that gas continues to flow in months other</w:t>
      </w:r>
    </w:p>
    <w:p>
      <w:pPr>
        <w:pStyle w:val="Normal"/>
        <w:rPr/>
      </w:pPr>
      <w:r>
        <w:rPr/>
        <w:t xml:space="preserve">           </w:t>
      </w:r>
      <w:r>
        <w:rPr/>
        <w:t>than December, January, February, July, and August.</w:t>
      </w:r>
    </w:p>
    <w:p>
      <w:pPr>
        <w:pStyle w:val="Normal"/>
        <w:rPr/>
      </w:pPr>
      <w:r>
        <w:rPr/>
      </w:r>
    </w:p>
    <w:p>
      <w:pPr>
        <w:pStyle w:val="Normal"/>
        <w:rPr/>
      </w:pPr>
      <w:r>
        <w:rPr/>
      </w:r>
    </w:p>
    <w:p>
      <w:pPr>
        <w:pStyle w:val="Normal"/>
        <w:rPr/>
      </w:pPr>
      <w:r>
        <w:rPr/>
      </w:r>
    </w:p>
    <w:p>
      <w:pPr>
        <w:pStyle w:val="Normal"/>
        <w:rPr/>
      </w:pPr>
      <w:r>
        <w:rPr/>
      </w:r>
    </w:p>
    <w:sectPr>
      <w:headerReference w:type="default" r:id="rId5"/>
      <w:footerReference w:type="default" r:id="rId6"/>
      <w:footerReference w:type="first" r:id="rId7"/>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4"/>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The Operator Agreement does state that PG&amp;E's facilities must be capable of receiving at least 200,000 MMBtu/day.   The facilities are actually capable of receiving about 400,000 MMBtu/day.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i/>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2000-01-06T12:46:00Z</dcterms:created>
  <dc:creator>Susan Scott</dc:creator>
  <dc:description/>
  <dc:language>en-CA</dc:language>
  <cp:lastModifiedBy>jcones</cp:lastModifiedBy>
  <cp:lastPrinted>2000-01-11T10:52:00Z</cp:lastPrinted>
  <dcterms:modified xsi:type="dcterms:W3CDTF">2000-01-11T14:24:00Z</dcterms:modified>
  <cp:revision>8</cp:revision>
  <dc:subject/>
  <dc:title> </dc:title>
</cp:coreProperties>
</file>