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2960" cy="8229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April 26,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Bill Christie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76 S Laura St Ste 1500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Jacksonville, FL 32202-3433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(904) 634-0453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26,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r>
        <w:rPr>
          <w:rFonts w:cs="Arial" w:ascii="Arial" w:hAnsi="Arial"/>
          <w:sz w:val="18"/>
        </w:rPr>
        <w:t xml:space="preserve">’s sale of a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Put</w:t>
      </w:r>
      <w:r>
        <w:rPr>
          <w:sz w:val="18"/>
          <w:rFonts w:cs="Arial" w:ascii="Arial" w:hAnsi="Arial"/>
        </w:rPr>
        <w:fldChar w:fldCharType="end"/>
      </w:r>
      <w:r>
        <w:rPr>
          <w:rFonts w:cs="Arial" w:ascii="Arial" w:hAnsi="Arial"/>
          <w:sz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Enron Power Marketing, Inc. </w:t>
      </w:r>
      <w:r>
        <w:rPr>
          <w:rFonts w:cs="Arial" w:ascii="Arial" w:hAnsi="Arial"/>
          <w:sz w:val="18"/>
        </w:rPr>
        <w:fldChar w:fldCharType="begin"/>
      </w:r>
      <w:r>
        <w:rPr>
          <w:sz w:val="18"/>
          <w:rFonts w:cs="Arial" w:ascii="Arial" w:hAnsi="Arial"/>
        </w:rPr>
        <w:instrText xml:space="preserve"> MERGEFIELD EnronOptRole </w:instrText>
      </w:r>
      <w:r>
        <w:rPr>
          <w:sz w:val="18"/>
          <w:rFonts w:cs="Arial" w:ascii="Arial" w:hAnsi="Arial"/>
        </w:rPr>
        <w:fldChar w:fldCharType="separate"/>
      </w:r>
      <w:r>
        <w:rPr>
          <w:sz w:val="18"/>
          <w:rFonts w:cs="Arial" w:ascii="Arial" w:hAnsi="Arial"/>
        </w:rPr>
        <w:t>has the option to sell and deliver</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CounterpartyOptRole </w:instrText>
      </w:r>
      <w:r>
        <w:rPr>
          <w:sz w:val="18"/>
          <w:rFonts w:cs="Arial" w:ascii="Arial" w:hAnsi="Arial"/>
        </w:rPr>
        <w:fldChar w:fldCharType="separate"/>
      </w:r>
      <w:r>
        <w:rPr>
          <w:sz w:val="18"/>
          <w:rFonts w:cs="Arial" w:ascii="Arial" w:hAnsi="Arial"/>
        </w:rPr>
        <w:t>is obligated to purchase and receive</w:t>
      </w:r>
      <w:r>
        <w:rPr>
          <w:sz w:val="18"/>
          <w:rFonts w:cs="Arial" w:ascii="Arial" w:hAnsi="Arial"/>
        </w:rPr>
        <w:fldChar w:fldCharType="end"/>
      </w:r>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Sunday, July 1, 2001 through Friday, August 31, 2001. </w:t>
              <w:t xml:space="preserve">Hour Ending (HE) 0700 through HE 2200 (16 Hours each day), </w:t>
              <w:t xml:space="preserve">Monday through Friday only, excluding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Strike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$45.00/MWh.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Dollars $1.05/MWh</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to be paid within two (2) business days </w:t>
            </w:r>
            <w:r>
              <w:rPr>
                <w:rFonts w:cs="Arial" w:ascii="Arial" w:hAnsi="Arial"/>
                <w:sz w:val="18"/>
                <w:lang w:val="en-CA"/>
              </w:rPr>
              <w:t>from receipt of invoice</w:t>
            </w:r>
            <w:r>
              <w:rPr>
                <w:rFonts w:cs="Arial" w:ascii="Arial" w:hAnsi="Arial"/>
                <w:sz w:val="18"/>
              </w:rPr>
              <w: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cs="Arial" w:ascii="Arial" w:hAnsi="Arial"/>
                <w:sz w:val="18"/>
              </w:rPr>
              <w:t>,</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70,400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 Border</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1-877-367-6601</w:t>
      </w:r>
    </w:p>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cs="Arial"/>
                <w:sz w:val="18"/>
              </w:rPr>
            </w:pPr>
            <w:r>
              <w:rPr>
                <w:rFonts w:cs="Arial" w:ascii="Arial" w:hAnsi="Arial"/>
                <w:sz w:val="18"/>
              </w:rPr>
              <w:t>Special</w:t>
            </w:r>
          </w:p>
          <w:p>
            <w:pPr>
              <w:pStyle w:val="Normal"/>
              <w:jc w:val="both"/>
              <w:rPr>
                <w:rFonts w:ascii="Arial" w:hAnsi="Arial" w:cs="Arial"/>
                <w:sz w:val="18"/>
              </w:rPr>
            </w:pPr>
            <w:r>
              <w:rPr>
                <w:rFonts w:cs="Arial" w:ascii="Arial" w:hAnsi="Arial"/>
                <w:sz w:val="18"/>
              </w:rPr>
              <w:t>Condition:</w:t>
            </w:r>
          </w:p>
        </w:tc>
        <w:tc>
          <w:tcPr>
            <w:tcW w:w="8118" w:type="dxa"/>
            <w:tcBorders/>
          </w:tcPr>
          <w:p>
            <w:pPr>
              <w:pStyle w:val="Normal"/>
              <w:jc w:val="both"/>
              <w:rPr/>
            </w:pPr>
            <w:r>
              <w:rPr>
                <w:rFonts w:cs="Arial" w:ascii="Arial" w:hAnsi="Arial"/>
                <w:sz w:val="18"/>
              </w:rPr>
              <w:t xml:space="preserve">For the term of this Agreement,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has the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right but not the obligation </w:t>
            </w:r>
            <w:r>
              <w:rPr>
                <w:rFonts w:cs="Arial" w:ascii="Arial" w:hAnsi="Arial"/>
                <w:sz w:val="18"/>
              </w:rPr>
              <w:fldChar w:fldCharType="begin"/>
            </w:r>
            <w:r>
              <w:rPr>
                <w:sz w:val="18"/>
                <w:rFonts w:cs="Arial" w:ascii="Arial" w:hAnsi="Arial"/>
              </w:rPr>
              <w:instrText xml:space="preserve"> MERGEFIELD OptPurchaserRole </w:instrText>
            </w:r>
            <w:r>
              <w:rPr>
                <w:sz w:val="18"/>
                <w:rFonts w:cs="Arial" w:ascii="Arial" w:hAnsi="Arial"/>
              </w:rPr>
              <w:fldChar w:fldCharType="separate"/>
            </w:r>
            <w:r>
              <w:rPr>
                <w:sz w:val="18"/>
                <w:rFonts w:cs="Arial" w:ascii="Arial" w:hAnsi="Arial"/>
              </w:rPr>
              <w:t>to sell and deliver</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cs="Arial" w:ascii="Arial" w:hAnsi="Arial"/>
                <w:sz w:val="18"/>
              </w:rPr>
              <w:t xml:space="preserve"> at the Strike Price above. In order to exercise its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option,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must provide telephone notice to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r>
              <w:rPr>
                <w:rFonts w:cs="Arial" w:ascii="Arial" w:hAnsi="Arial"/>
                <w:sz w:val="18"/>
              </w:rPr>
              <w:t xml:space="preserve">, no later than 9:15 a.m. CPT on the prior business day.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If the Option is properly exercised, the parties shall be obligated to schedule, deliver and receive the Quantity for the period for which the Option is exercised.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Border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energy is being provided pursuant to and in accordance with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17,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26,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xml:space="preserve">. Your response should reflect the appropriate party in your organization who has the authority to enter into this transaction.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The Energy Authority, Inc.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Rogers Herndon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 xml:space="preserve">  </w:t>
      </w:r>
    </w:p>
    <w:sectPr>
      <w:headerReference w:type="default" r:id="rId3"/>
      <w:footerReference w:type="default" r:id="rId4"/>
      <w:type w:val="continuous"/>
      <w:pgSz w:w="12561" w:h="15840"/>
      <w:pgMar w:left="1440" w:right="1440"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594013.01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2001-04-30T17:24:00Z</dcterms:created>
  <dc:creator> </dc:creator>
  <dc:description/>
  <dc:language>en-CA</dc:language>
  <cp:lastModifiedBy>mmurphy</cp:lastModifiedBy>
  <dcterms:modified xsi:type="dcterms:W3CDTF">2001-04-30T17:24:00Z</dcterms:modified>
  <cp:revision>2</cp:revision>
  <dc:subject/>
  <dc:title>594013.01</dc:title>
</cp:coreProperties>
</file>