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caps/>
        </w:rPr>
      </w:pPr>
      <w:r>
        <w:rPr>
          <w:b w:val="false"/>
          <w:caps/>
        </w:rPr>
        <w:t>Building Owners &amp; Managers Association of California</w:t>
      </w:r>
    </w:p>
    <w:p>
      <w:pPr>
        <w:pStyle w:val="Normal"/>
        <w:jc w:val="center"/>
        <w:rPr>
          <w:caps/>
          <w:sz w:val="24"/>
        </w:rPr>
      </w:pPr>
      <w:r>
        <w:rPr>
          <w:caps/>
          <w:sz w:val="24"/>
        </w:rPr>
        <w:t>California Chamber of Commerce</w:t>
      </w:r>
    </w:p>
    <w:p>
      <w:pPr>
        <w:pStyle w:val="Normal"/>
        <w:jc w:val="center"/>
        <w:rPr>
          <w:caps/>
          <w:sz w:val="24"/>
        </w:rPr>
      </w:pPr>
      <w:r>
        <w:rPr>
          <w:caps/>
          <w:sz w:val="24"/>
        </w:rPr>
        <w:t>California Grocers Association</w:t>
      </w:r>
    </w:p>
    <w:p>
      <w:pPr>
        <w:pStyle w:val="Normal"/>
        <w:jc w:val="center"/>
        <w:rPr>
          <w:caps/>
          <w:sz w:val="24"/>
        </w:rPr>
      </w:pPr>
      <w:r>
        <w:rPr>
          <w:caps/>
          <w:sz w:val="24"/>
        </w:rPr>
        <w:t>California Health Care Association</w:t>
      </w:r>
    </w:p>
    <w:p>
      <w:pPr>
        <w:pStyle w:val="Normal"/>
        <w:jc w:val="center"/>
        <w:rPr>
          <w:caps/>
          <w:sz w:val="24"/>
        </w:rPr>
      </w:pPr>
      <w:r>
        <w:rPr>
          <w:caps/>
          <w:sz w:val="24"/>
        </w:rPr>
        <w:t>California Manufacturers &amp; Technology Association</w:t>
      </w:r>
    </w:p>
    <w:p>
      <w:pPr>
        <w:pStyle w:val="Heading1"/>
        <w:ind w:hanging="0" w:start="0"/>
        <w:rPr>
          <w:caps/>
        </w:rPr>
      </w:pPr>
      <w:r>
        <w:rPr>
          <w:caps/>
        </w:rPr>
        <w:t>California Large Energy Consumers Association</w:t>
      </w:r>
    </w:p>
    <w:p>
      <w:pPr>
        <w:pStyle w:val="Heading3"/>
        <w:ind w:hanging="0" w:start="0"/>
        <w:rPr>
          <w:b w:val="false"/>
        </w:rPr>
      </w:pPr>
      <w:r>
        <w:rPr>
          <w:b w:val="false"/>
        </w:rPr>
        <w:t>California Retailers Association</w:t>
      </w:r>
    </w:p>
    <w:p>
      <w:pPr>
        <w:pStyle w:val="Normal"/>
        <w:jc w:val="center"/>
        <w:rPr>
          <w:caps/>
          <w:sz w:val="24"/>
        </w:rPr>
      </w:pPr>
      <w:r>
        <w:rPr>
          <w:caps/>
          <w:sz w:val="24"/>
        </w:rPr>
        <w:t>California State University</w:t>
      </w:r>
    </w:p>
    <w:p>
      <w:pPr>
        <w:pStyle w:val="Normal"/>
        <w:jc w:val="center"/>
        <w:rPr>
          <w:caps/>
          <w:sz w:val="24"/>
        </w:rPr>
      </w:pPr>
      <w:r>
        <w:rPr>
          <w:caps/>
          <w:sz w:val="24"/>
        </w:rPr>
        <w:t>California Healthcare Association</w:t>
      </w:r>
    </w:p>
    <w:p>
      <w:pPr>
        <w:pStyle w:val="Normal"/>
        <w:jc w:val="center"/>
        <w:rPr>
          <w:caps/>
          <w:sz w:val="24"/>
        </w:rPr>
      </w:pPr>
      <w:r>
        <w:rPr>
          <w:caps/>
          <w:sz w:val="24"/>
        </w:rPr>
        <w:t>AES NewEnergy</w:t>
      </w:r>
    </w:p>
    <w:p>
      <w:pPr>
        <w:pStyle w:val="Heading1"/>
        <w:ind w:hanging="0" w:start="0"/>
        <w:rPr>
          <w:bCs/>
          <w:caps/>
        </w:rPr>
      </w:pPr>
      <w:r>
        <w:rPr>
          <w:bCs/>
          <w:caps/>
        </w:rPr>
        <w:t>association of bay area governments power</w:t>
      </w:r>
    </w:p>
    <w:p>
      <w:pPr>
        <w:pStyle w:val="Normal"/>
        <w:jc w:val="center"/>
        <w:rPr>
          <w:caps/>
          <w:sz w:val="24"/>
        </w:rPr>
      </w:pPr>
      <w:r>
        <w:rPr>
          <w:caps/>
          <w:sz w:val="24"/>
        </w:rPr>
        <w:t>OCLI - A JDS Uniphase Company</w:t>
      </w:r>
    </w:p>
    <w:p>
      <w:pPr>
        <w:pStyle w:val="Normal"/>
        <w:jc w:val="center"/>
        <w:rPr>
          <w:caps/>
          <w:sz w:val="24"/>
        </w:rPr>
      </w:pPr>
      <w:r>
        <w:rPr>
          <w:caps/>
          <w:sz w:val="24"/>
        </w:rPr>
        <w:t>Ralphs Grocery company</w:t>
      </w:r>
    </w:p>
    <w:p>
      <w:pPr>
        <w:pStyle w:val="Normal"/>
        <w:jc w:val="center"/>
        <w:rPr>
          <w:caps/>
          <w:sz w:val="24"/>
        </w:rPr>
      </w:pPr>
      <w:r>
        <w:rPr>
          <w:caps/>
          <w:sz w:val="24"/>
        </w:rPr>
        <w:t>Kaiser Permanente</w:t>
      </w:r>
    </w:p>
    <w:p>
      <w:pPr>
        <w:pStyle w:val="Heading2"/>
        <w:ind w:hanging="0" w:start="0"/>
        <w:jc w:val="center"/>
        <w:rPr>
          <w:caps/>
        </w:rPr>
      </w:pPr>
      <w:r>
        <w:rPr>
          <w:caps/>
        </w:rPr>
        <w:t>Enron Corporation</w:t>
      </w:r>
    </w:p>
    <w:p>
      <w:pPr>
        <w:pStyle w:val="Heading1"/>
        <w:ind w:hanging="0" w:start="0"/>
        <w:rPr>
          <w:caps/>
        </w:rPr>
      </w:pPr>
      <w:r>
        <w:rPr>
          <w:caps/>
        </w:rPr>
        <w:t>LOS ANGELES ECONOMIC DEVELOPMENT CORPORATION</w:t>
      </w:r>
    </w:p>
    <w:p>
      <w:pPr>
        <w:pStyle w:val="Normal"/>
        <w:jc w:val="center"/>
        <w:rPr>
          <w:caps/>
          <w:sz w:val="24"/>
        </w:rPr>
      </w:pPr>
      <w:r>
        <w:rPr>
          <w:caps/>
          <w:sz w:val="24"/>
        </w:rPr>
        <w:t>Green Mountain Energy Company</w:t>
      </w:r>
    </w:p>
    <w:p>
      <w:pPr>
        <w:pStyle w:val="Normal"/>
        <w:jc w:val="center"/>
        <w:rPr>
          <w:caps/>
          <w:sz w:val="24"/>
        </w:rPr>
      </w:pPr>
      <w:r>
        <w:rPr>
          <w:caps/>
          <w:sz w:val="24"/>
        </w:rPr>
        <w:t>Independent Energy Producers</w:t>
      </w:r>
    </w:p>
    <w:p>
      <w:pPr>
        <w:pStyle w:val="Normal"/>
        <w:jc w:val="center"/>
        <w:rPr>
          <w:caps/>
          <w:sz w:val="24"/>
        </w:rPr>
      </w:pPr>
      <w:r>
        <w:rPr>
          <w:caps/>
          <w:sz w:val="24"/>
        </w:rPr>
        <w:t>The Alliance for Retail Energy Markets (AReM)</w:t>
      </w:r>
    </w:p>
    <w:p>
      <w:pPr>
        <w:pStyle w:val="Normal"/>
        <w:jc w:val="center"/>
        <w:rPr>
          <w:caps/>
          <w:sz w:val="24"/>
        </w:rPr>
      </w:pPr>
      <w:r>
        <w:rPr>
          <w:caps/>
          <w:sz w:val="24"/>
        </w:rPr>
        <w:t>The New Power Company</w:t>
      </w:r>
    </w:p>
    <w:p>
      <w:pPr>
        <w:pStyle w:val="BodyText"/>
        <w:rPr>
          <w:b w:val="false"/>
          <w:caps/>
        </w:rPr>
      </w:pPr>
      <w:r>
        <w:rPr>
          <w:b w:val="false"/>
          <w:caps/>
        </w:rPr>
        <w:t>University of California</w:t>
      </w:r>
    </w:p>
    <w:p>
      <w:pPr>
        <w:pStyle w:val="BodyText"/>
        <w:rPr>
          <w:b w:val="false"/>
          <w:caps/>
        </w:rPr>
      </w:pPr>
      <w:r>
        <w:rPr>
          <w:b w:val="false"/>
          <w:caps/>
        </w:rPr>
        <w:t>SCHOOL PROJECT FOR UTILITY RATE REDUCTION</w:t>
      </w:r>
    </w:p>
    <w:p>
      <w:pPr>
        <w:pStyle w:val="BodyText"/>
        <w:rPr>
          <w:b w:val="false"/>
          <w:caps/>
        </w:rPr>
      </w:pPr>
      <w:r>
        <w:rPr>
          <w:b w:val="false"/>
          <w:caps/>
        </w:rPr>
        <w:t>CALIFORNIA UTILITY BUYERS JPA</w:t>
      </w:r>
    </w:p>
    <w:p>
      <w:pPr>
        <w:pStyle w:val="Normal"/>
        <w:rPr>
          <w:sz w:val="24"/>
        </w:rPr>
      </w:pPr>
      <w:r>
        <w:rPr>
          <w:sz w:val="24"/>
        </w:rPr>
      </w:r>
    </w:p>
    <w:p>
      <w:pPr>
        <w:pStyle w:val="BodyText2"/>
        <w:rPr/>
      </w:pPr>
      <w:r>
        <w:rPr/>
        <w:t xml:space="preserve">ABX 1 indefinitely suspends an electricity customer’s ability to enter into new supply agreements to be served by alternate energy service provider (also referred to as “direct access”).  The above coalition of business, healthcare, and educational organizations, along with retail energy service providers, as well as many customer representatives, has come together to correct the abolition of consumer choice in ABX 1.  </w:t>
      </w:r>
    </w:p>
    <w:p>
      <w:pPr>
        <w:pStyle w:val="BodyText2"/>
        <w:rPr/>
      </w:pPr>
      <w:r>
        <w:rPr/>
      </w:r>
    </w:p>
    <w:p>
      <w:pPr>
        <w:pStyle w:val="BodyText2"/>
        <w:rPr/>
      </w:pPr>
      <w:r>
        <w:rPr/>
        <w:t xml:space="preserve">Specifically, the coalition seeks to amend ABX 1 to re-establish the availability of customer choice. Choice is important to many customers who wish to exert more control over (a) energy price risk management (through optional pricing plans), (b) payment terms and billing options, (c) energy management and other service options, and (d) the environmental issues related to power production on their behalf. </w:t>
      </w:r>
    </w:p>
    <w:p>
      <w:pPr>
        <w:pStyle w:val="BodyText2"/>
        <w:rPr/>
      </w:pPr>
      <w:r>
        <w:rPr/>
      </w:r>
    </w:p>
    <w:p>
      <w:pPr>
        <w:pStyle w:val="BodyText2"/>
        <w:rPr/>
      </w:pPr>
      <w:r>
        <w:rPr/>
        <w:t xml:space="preserve">Also, the State of California will benefit from direct access choices.  Each kilowatt-hour procured through direct access is a kilowatt-hour that the State does not have to procure or pay for.  Each customer on direct access takes the State one step closer to being out of the power procurement business in the long run. </w:t>
      </w:r>
    </w:p>
    <w:p>
      <w:pPr>
        <w:pStyle w:val="Normal"/>
        <w:jc w:val="both"/>
        <w:rPr>
          <w:sz w:val="24"/>
        </w:rPr>
      </w:pPr>
      <w:r>
        <w:rPr>
          <w:sz w:val="24"/>
        </w:rPr>
      </w:r>
    </w:p>
    <w:p>
      <w:pPr>
        <w:pStyle w:val="Normal"/>
        <w:jc w:val="both"/>
        <w:rPr>
          <w:sz w:val="24"/>
        </w:rPr>
      </w:pPr>
      <w:r>
        <w:rPr>
          <w:sz w:val="24"/>
        </w:rPr>
        <w:t>Senator Debra Bowen has stated her intent to address customer choice through SBX 27.  Our coalition is committed to working with Senator Bowen on this clean-up legislation. We have provided her with draft language that would enable customers to manage their particular energy needs in a way that addresses any possible concern that customer choice might harm customers that continue to have their energy service requirements satisfied by the California Department of Water Resources (“Department”) and the utilities. The coalition believes that customer choice will benefit all end-users, whether or not they avail themselves of direct access choices. The coalition is sensitive to the concerns of other parties on this score, so we have addressed them directly, and fairly, in our proposal.</w:t>
      </w:r>
    </w:p>
    <w:p>
      <w:pPr>
        <w:pStyle w:val="Normal"/>
        <w:jc w:val="both"/>
        <w:rPr>
          <w:sz w:val="24"/>
        </w:rPr>
      </w:pPr>
      <w:r>
        <w:rPr>
          <w:sz w:val="24"/>
        </w:rPr>
      </w:r>
    </w:p>
    <w:p>
      <w:pPr>
        <w:pStyle w:val="Normal"/>
        <w:jc w:val="both"/>
        <w:rPr>
          <w:sz w:val="24"/>
        </w:rPr>
      </w:pPr>
      <w:r>
        <w:rPr>
          <w:sz w:val="24"/>
        </w:rPr>
        <w:t>The following is a summary of our coalition’s proposal to re-establish customer choice:</w:t>
      </w:r>
    </w:p>
    <w:p>
      <w:pPr>
        <w:pStyle w:val="Normal"/>
        <w:jc w:val="both"/>
        <w:rPr>
          <w:sz w:val="24"/>
        </w:rPr>
      </w:pPr>
      <w:r>
        <w:rPr>
          <w:sz w:val="24"/>
        </w:rPr>
      </w:r>
    </w:p>
    <w:p>
      <w:pPr>
        <w:pStyle w:val="Normal"/>
        <w:numPr>
          <w:ilvl w:val="0"/>
          <w:numId w:val="2"/>
        </w:numPr>
        <w:tabs>
          <w:tab w:val="clear" w:pos="720"/>
        </w:tabs>
        <w:spacing w:before="0" w:after="120"/>
        <w:ind w:hanging="360" w:start="360" w:end="0"/>
        <w:jc w:val="both"/>
        <w:rPr>
          <w:sz w:val="24"/>
        </w:rPr>
      </w:pPr>
      <w:r>
        <w:rPr>
          <w:sz w:val="24"/>
        </w:rPr>
        <w:t xml:space="preserve">Initial Subscription Period:  Large commercial and industrial (Large C&amp;I) customer accounts (demands </w:t>
      </w:r>
      <w:r>
        <w:rPr>
          <w:sz w:val="24"/>
          <w:u w:val="single"/>
        </w:rPr>
        <w:t>&gt;</w:t>
      </w:r>
      <w:r>
        <w:rPr>
          <w:sz w:val="24"/>
        </w:rPr>
        <w:t xml:space="preserve"> 100 kW) can enter direct access agreements only until the Department has fully satisfied the net short position of the respective utility with long-term contracts.</w:t>
      </w:r>
    </w:p>
    <w:p>
      <w:pPr>
        <w:pStyle w:val="Normal"/>
        <w:numPr>
          <w:ilvl w:val="0"/>
          <w:numId w:val="2"/>
        </w:numPr>
        <w:tabs>
          <w:tab w:val="clear" w:pos="720"/>
        </w:tabs>
        <w:spacing w:before="0" w:after="120"/>
        <w:ind w:hanging="360" w:start="360" w:end="0"/>
        <w:jc w:val="both"/>
        <w:rPr>
          <w:sz w:val="24"/>
        </w:rPr>
      </w:pPr>
      <w:r>
        <w:rPr>
          <w:sz w:val="24"/>
        </w:rPr>
        <w:t>The right of residential and small commercial customers (demands &lt; 100 kW) to enter into a direct access transaction shall not be limited or subject to an exit surcharge.</w:t>
      </w:r>
    </w:p>
    <w:p>
      <w:pPr>
        <w:pStyle w:val="Normal"/>
        <w:numPr>
          <w:ilvl w:val="0"/>
          <w:numId w:val="2"/>
        </w:numPr>
        <w:tabs>
          <w:tab w:val="clear" w:pos="720"/>
        </w:tabs>
        <w:spacing w:before="0" w:after="120"/>
        <w:ind w:hanging="360" w:start="360" w:end="0"/>
        <w:jc w:val="both"/>
        <w:rPr>
          <w:sz w:val="24"/>
        </w:rPr>
      </w:pPr>
      <w:r>
        <w:rPr>
          <w:sz w:val="24"/>
        </w:rPr>
        <w:t>Exit Surcharge:  When a Large C&amp;I customer elects to enter into a direct access transaction after the initial subscription period has closed, the Department may impose a fee equal to the incremental costs (costs that the Department cannot reasonably avoid until one or more long-term contracts lapse) imposed on the Department’s portfolio that are directly related to the load of the departing customer.</w:t>
      </w:r>
    </w:p>
    <w:p>
      <w:pPr>
        <w:pStyle w:val="Normal"/>
        <w:numPr>
          <w:ilvl w:val="0"/>
          <w:numId w:val="2"/>
        </w:numPr>
        <w:tabs>
          <w:tab w:val="clear" w:pos="720"/>
        </w:tabs>
        <w:spacing w:before="0" w:after="120"/>
        <w:ind w:hanging="360" w:start="360" w:end="0"/>
        <w:jc w:val="both"/>
        <w:rPr>
          <w:sz w:val="24"/>
        </w:rPr>
      </w:pPr>
      <w:r>
        <w:rPr>
          <w:sz w:val="24"/>
        </w:rPr>
        <w:t>Open Subscription Period:  Large C&amp;I customers can enter into a direct access transactions, without being subject to the exit surcharge, upon notification by the Department that a long-term contract has lapsed.</w:t>
      </w:r>
    </w:p>
    <w:p>
      <w:pPr>
        <w:pStyle w:val="Normal"/>
        <w:numPr>
          <w:ilvl w:val="0"/>
          <w:numId w:val="2"/>
        </w:numPr>
        <w:tabs>
          <w:tab w:val="clear" w:pos="720"/>
        </w:tabs>
        <w:spacing w:before="0" w:after="120"/>
        <w:ind w:hanging="360" w:start="360" w:end="0"/>
        <w:jc w:val="both"/>
        <w:rPr>
          <w:sz w:val="24"/>
        </w:rPr>
      </w:pPr>
      <w:r>
        <w:rPr>
          <w:sz w:val="24"/>
        </w:rPr>
        <w:t>Close of Open Subscription Period:  This period shall remain in effect until the aggregated demand of all customers who have entered into a direct access transaction exceeds the capacity of the lapsing contract.</w:t>
      </w:r>
    </w:p>
    <w:p>
      <w:pPr>
        <w:pStyle w:val="Normal"/>
        <w:numPr>
          <w:ilvl w:val="0"/>
          <w:numId w:val="2"/>
        </w:numPr>
        <w:tabs>
          <w:tab w:val="clear" w:pos="720"/>
        </w:tabs>
        <w:spacing w:before="0" w:after="120"/>
        <w:ind w:hanging="360" w:start="360" w:end="0"/>
        <w:jc w:val="both"/>
        <w:rPr>
          <w:sz w:val="24"/>
        </w:rPr>
      </w:pPr>
      <w:r>
        <w:rPr>
          <w:sz w:val="24"/>
        </w:rPr>
        <w:t>Customers that do not opt to take retail service through a direct access transaction during either the initial or open subscription periods shall be required to take service from the Department for a minimum of one year.</w:t>
      </w:r>
    </w:p>
    <w:p>
      <w:pPr>
        <w:pStyle w:val="Normal"/>
        <w:numPr>
          <w:ilvl w:val="0"/>
          <w:numId w:val="2"/>
        </w:numPr>
        <w:tabs>
          <w:tab w:val="clear" w:pos="720"/>
        </w:tabs>
        <w:spacing w:before="0" w:after="120"/>
        <w:ind w:hanging="360" w:start="360" w:end="0"/>
        <w:jc w:val="both"/>
        <w:rPr>
          <w:sz w:val="24"/>
        </w:rPr>
      </w:pPr>
      <w:r>
        <w:rPr>
          <w:sz w:val="24"/>
        </w:rPr>
        <w:t>Any new Large C&amp;I customer shall have the opportunity to enter into a direct access transaction for retail service during the first 120 days of service without being subject to the exit surcharge.</w:t>
      </w:r>
    </w:p>
    <w:p>
      <w:pPr>
        <w:pStyle w:val="Normal"/>
        <w:jc w:val="both"/>
        <w:rPr>
          <w:sz w:val="24"/>
        </w:rPr>
      </w:pPr>
      <w:r>
        <w:rPr>
          <w:sz w:val="24"/>
        </w:rPr>
      </w:r>
    </w:p>
    <w:sectPr>
      <w:type w:val="nextPage"/>
      <w:pgSz w:w="12240" w:h="15840"/>
      <w:pgMar w:left="1872" w:right="1872"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center"/>
      <w:outlineLvl w:val="2"/>
    </w:pPr>
    <w:rPr>
      <w:b/>
      <w:bCs/>
      <w:caps/>
      <w:sz w:val="24"/>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4"/>
    </w:rPr>
  </w:style>
  <w:style w:type="paragraph" w:styleId="BodyText">
    <w:name w:val="Body Text"/>
    <w:basedOn w:val="Normal"/>
    <w:pPr>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2001-02-14T19:29:00Z</dcterms:created>
  <dc:creator>Norman Plotkin</dc:creator>
  <dc:description/>
  <dc:language>en-CA</dc:language>
  <cp:lastModifiedBy>Aaron Thomas</cp:lastModifiedBy>
  <cp:lastPrinted>2001-02-14T13:59:00Z</cp:lastPrinted>
  <dcterms:modified xsi:type="dcterms:W3CDTF">2001-02-14T21:03:00Z</dcterms:modified>
  <cp:revision>5</cp:revision>
  <dc:subject/>
  <dc:title>February 2, 2001</dc:title>
</cp:coreProperties>
</file>