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GRANDTITRE"/>
        <w:spacing w:before="480" w:after="240"/>
        <w:rPr/>
      </w:pPr>
      <w:r>
        <w:rPr/>
        <w:t>MEMORANDUM</w:t>
      </w:r>
    </w:p>
    <w:tbl>
      <w:tblPr>
        <w:tblW w:w="9610" w:type="dxa"/>
        <w:jc w:val="start"/>
        <w:tblInd w:w="0" w:type="dxa"/>
        <w:tblLayout w:type="fixed"/>
        <w:tblCellMar>
          <w:top w:w="0" w:type="dxa"/>
          <w:start w:w="70" w:type="dxa"/>
          <w:bottom w:w="0" w:type="dxa"/>
          <w:end w:w="70" w:type="dxa"/>
        </w:tblCellMar>
      </w:tblPr>
      <w:tblGrid>
        <w:gridCol w:w="1224"/>
        <w:gridCol w:w="16"/>
        <w:gridCol w:w="8354"/>
        <w:gridCol w:w="16"/>
      </w:tblGrid>
      <w:tr>
        <w:trPr/>
        <w:tc>
          <w:tcPr>
            <w:tcW w:w="1240" w:type="dxa"/>
            <w:gridSpan w:val="2"/>
            <w:tcBorders/>
          </w:tcPr>
          <w:p>
            <w:pPr>
              <w:pStyle w:val="Sujet"/>
              <w:spacing w:before="240" w:after="0"/>
              <w:rPr>
                <w:b/>
              </w:rPr>
            </w:pPr>
            <w:r>
              <w:rPr>
                <w:b/>
              </w:rPr>
              <w:t>TO:</w:t>
            </w:r>
          </w:p>
        </w:tc>
        <w:tc>
          <w:tcPr>
            <w:tcW w:w="8370" w:type="dxa"/>
            <w:tcBorders/>
          </w:tcPr>
          <w:p>
            <w:pPr>
              <w:pStyle w:val="Normal"/>
              <w:spacing w:before="240" w:after="0"/>
              <w:rPr/>
            </w:pPr>
            <w:r>
              <w:rPr/>
              <w:t>PAUL BLUNDY</w:t>
            </w:r>
          </w:p>
        </w:tc>
      </w:tr>
      <w:tr>
        <w:trPr/>
        <w:tc>
          <w:tcPr>
            <w:tcW w:w="1240" w:type="dxa"/>
            <w:gridSpan w:val="2"/>
            <w:tcBorders/>
          </w:tcPr>
          <w:p>
            <w:pPr>
              <w:pStyle w:val="Sujet"/>
              <w:spacing w:before="240" w:after="0"/>
              <w:rPr>
                <w:b/>
              </w:rPr>
            </w:pPr>
            <w:r>
              <w:rPr>
                <w:b/>
              </w:rPr>
              <w:t>c.c.:</w:t>
            </w:r>
          </w:p>
        </w:tc>
        <w:tc>
          <w:tcPr>
            <w:tcW w:w="8370" w:type="dxa"/>
            <w:tcBorders/>
          </w:tcPr>
          <w:p>
            <w:pPr>
              <w:pStyle w:val="Normal"/>
              <w:spacing w:before="240" w:after="0"/>
              <w:rPr/>
            </w:pPr>
            <w:r>
              <w:rPr/>
              <w:t>MARK GREENBERG</w:t>
            </w:r>
          </w:p>
        </w:tc>
      </w:tr>
      <w:tr>
        <w:trPr/>
        <w:tc>
          <w:tcPr>
            <w:tcW w:w="1240" w:type="dxa"/>
            <w:gridSpan w:val="2"/>
            <w:tcBorders/>
          </w:tcPr>
          <w:p>
            <w:pPr>
              <w:pStyle w:val="Sujet"/>
              <w:spacing w:before="240" w:after="0"/>
              <w:rPr>
                <w:b/>
              </w:rPr>
            </w:pPr>
            <w:r>
              <w:rPr>
                <w:b/>
              </w:rPr>
              <w:t>FROM:</w:t>
            </w:r>
          </w:p>
        </w:tc>
        <w:tc>
          <w:tcPr>
            <w:tcW w:w="8370" w:type="dxa"/>
            <w:tcBorders/>
          </w:tcPr>
          <w:p>
            <w:pPr>
              <w:pStyle w:val="Normal"/>
              <w:spacing w:before="240" w:after="0"/>
              <w:rPr/>
            </w:pPr>
            <w:r>
              <w:rPr/>
              <w:t>CHRISTOPHER DEEHY</w:t>
            </w:r>
          </w:p>
        </w:tc>
      </w:tr>
      <w:tr>
        <w:trPr/>
        <w:tc>
          <w:tcPr>
            <w:tcW w:w="1240" w:type="dxa"/>
            <w:gridSpan w:val="2"/>
            <w:tcBorders/>
          </w:tcPr>
          <w:p>
            <w:pPr>
              <w:pStyle w:val="Sujet"/>
              <w:spacing w:before="240" w:after="0"/>
              <w:rPr>
                <w:b/>
              </w:rPr>
            </w:pPr>
            <w:r>
              <w:rPr>
                <w:b/>
              </w:rPr>
              <w:t>DATE:</w:t>
            </w:r>
          </w:p>
        </w:tc>
        <w:tc>
          <w:tcPr>
            <w:tcW w:w="8370" w:type="dxa"/>
            <w:tcBorders/>
          </w:tcPr>
          <w:p>
            <w:pPr>
              <w:pStyle w:val="Normal"/>
              <w:spacing w:before="240" w:after="0"/>
              <w:rPr/>
            </w:pPr>
            <w:r>
              <w:rPr/>
              <w:t>DECEMBER 7, 2000</w:t>
            </w:r>
          </w:p>
        </w:tc>
      </w:tr>
      <w:tr>
        <w:trPr/>
        <w:tc>
          <w:tcPr>
            <w:tcW w:w="1240" w:type="dxa"/>
            <w:gridSpan w:val="2"/>
            <w:tcBorders/>
          </w:tcPr>
          <w:p>
            <w:pPr>
              <w:pStyle w:val="Sujet"/>
              <w:spacing w:before="240" w:after="0"/>
              <w:rPr>
                <w:b/>
              </w:rPr>
            </w:pPr>
            <w:r>
              <w:rPr>
                <w:b/>
              </w:rPr>
              <w:t>RE:</w:t>
            </w:r>
          </w:p>
        </w:tc>
        <w:tc>
          <w:tcPr>
            <w:tcW w:w="8370" w:type="dxa"/>
            <w:tcBorders/>
          </w:tcPr>
          <w:p>
            <w:pPr>
              <w:pStyle w:val="Normal"/>
              <w:spacing w:before="240" w:after="0"/>
              <w:ind w:hanging="20" w:start="20" w:end="0"/>
              <w:rPr/>
            </w:pPr>
            <w:r>
              <w:rPr/>
              <w:t>QUEBEC LABOUR ISSUES:</w:t>
              <w:br/>
              <w:t>PAY EQUITY, EMPLOYEES ON LAY-OFF AND GRIEVANCES</w:t>
            </w:r>
          </w:p>
        </w:tc>
      </w:tr>
      <w:tr>
        <w:trPr/>
        <w:tc>
          <w:tcPr>
            <w:tcW w:w="1240" w:type="dxa"/>
            <w:gridSpan w:val="2"/>
            <w:tcBorders/>
          </w:tcPr>
          <w:p>
            <w:pPr>
              <w:pStyle w:val="Sujet"/>
              <w:spacing w:before="240" w:after="0"/>
              <w:rPr>
                <w:b/>
              </w:rPr>
            </w:pPr>
            <w:r>
              <w:rPr>
                <w:b/>
              </w:rPr>
              <w:t>FILE:</w:t>
            </w:r>
          </w:p>
        </w:tc>
        <w:tc>
          <w:tcPr>
            <w:tcW w:w="8370" w:type="dxa"/>
            <w:tcBorders/>
          </w:tcPr>
          <w:p>
            <w:pPr>
              <w:pStyle w:val="Normal"/>
              <w:spacing w:before="240" w:after="0"/>
              <w:rPr/>
            </w:pPr>
            <w:r>
              <w:rPr/>
              <w:t>BENJ.40387</w:t>
            </w:r>
          </w:p>
        </w:tc>
      </w:tr>
      <w:tr>
        <w:trPr>
          <w:trHeight w:val="120" w:hRule="exact"/>
        </w:trPr>
        <w:tc>
          <w:tcPr>
            <w:tcW w:w="1240" w:type="dxa"/>
            <w:gridSpan w:val="2"/>
            <w:tcBorders/>
          </w:tcPr>
          <w:p>
            <w:pPr>
              <w:pStyle w:val="Header"/>
              <w:tabs>
                <w:tab w:val="clear" w:pos="4320"/>
                <w:tab w:val="clear" w:pos="8640"/>
              </w:tabs>
              <w:snapToGrid w:val="false"/>
              <w:spacing w:before="240" w:after="240"/>
              <w:rPr>
                <w:b/>
              </w:rPr>
            </w:pPr>
            <w:r>
              <w:rPr>
                <w:b/>
              </w:rPr>
            </w:r>
          </w:p>
        </w:tc>
        <w:tc>
          <w:tcPr>
            <w:tcW w:w="8370" w:type="dxa"/>
            <w:tcBorders/>
          </w:tcPr>
          <w:p>
            <w:pPr>
              <w:pStyle w:val="Normal"/>
              <w:snapToGrid w:val="false"/>
              <w:spacing w:before="240" w:after="0"/>
              <w:rPr>
                <w:b/>
              </w:rPr>
            </w:pPr>
            <w:r>
              <w:rPr>
                <w:b/>
              </w:rPr>
            </w:r>
          </w:p>
        </w:tc>
      </w:tr>
      <w:tr>
        <w:trPr>
          <w:trHeight w:val="600" w:hRule="exact"/>
        </w:trPr>
        <w:tc>
          <w:tcPr>
            <w:tcW w:w="1224" w:type="dxa"/>
            <w:tcBorders>
              <w:top w:val="single" w:sz="4" w:space="0" w:color="000000"/>
            </w:tcBorders>
          </w:tcPr>
          <w:p>
            <w:pPr>
              <w:pStyle w:val="Header"/>
              <w:tabs>
                <w:tab w:val="clear" w:pos="4320"/>
                <w:tab w:val="clear" w:pos="8640"/>
              </w:tabs>
              <w:snapToGrid w:val="false"/>
              <w:spacing w:before="240" w:after="240"/>
              <w:rPr>
                <w:b/>
              </w:rPr>
            </w:pPr>
            <w:r>
              <w:rPr>
                <w:b/>
              </w:rPr>
            </w:r>
          </w:p>
        </w:tc>
        <w:tc>
          <w:tcPr>
            <w:tcW w:w="8370" w:type="dxa"/>
            <w:gridSpan w:val="2"/>
            <w:tcBorders>
              <w:top w:val="single" w:sz="4" w:space="0" w:color="000000"/>
            </w:tcBorders>
          </w:tcPr>
          <w:p>
            <w:pPr>
              <w:pStyle w:val="Normal"/>
              <w:snapToGrid w:val="false"/>
              <w:spacing w:before="240" w:after="0"/>
              <w:rPr>
                <w:b/>
              </w:rPr>
            </w:pPr>
            <w:r>
              <w:rPr>
                <w:b/>
              </w:rPr>
            </w:r>
          </w:p>
        </w:tc>
      </w:tr>
    </w:tbl>
    <w:p>
      <w:pPr>
        <w:pStyle w:val="Paragraphe1"/>
        <w:rPr/>
      </w:pPr>
      <w:r>
        <w:rPr/>
      </w:r>
    </w:p>
    <w:p>
      <w:pPr>
        <w:pStyle w:val="Paragraphe1"/>
        <w:rPr/>
      </w:pPr>
      <w:r>
        <w:rPr/>
        <w:t>Dear Mark:</w:t>
      </w:r>
    </w:p>
    <w:p>
      <w:pPr>
        <w:pStyle w:val="Paragraphe1"/>
        <w:rPr/>
      </w:pPr>
      <w:r>
        <w:rPr/>
        <w:t>I am in receipt of your e-mail of December 5, 2000 regarding the Pay Equity Plan and am providing answers thereto.  I am also providing additional information regarding potential exposure for employees at the Leduc Saw Mill in the event that they are not recalled and regarding the outstanding grievances.</w:t>
      </w:r>
    </w:p>
    <w:p>
      <w:pPr>
        <w:pStyle w:val="Paragraphe1"/>
        <w:rPr>
          <w:b/>
        </w:rPr>
      </w:pPr>
      <w:r>
        <w:rPr>
          <w:b/>
        </w:rPr>
        <w:t>PAY EQUITY</w:t>
      </w:r>
    </w:p>
    <w:p>
      <w:pPr>
        <w:pStyle w:val="Paragraphe1"/>
        <w:rPr/>
      </w:pPr>
      <w:r>
        <w:rPr/>
        <w:t xml:space="preserve">The purpose of the </w:t>
      </w:r>
      <w:r>
        <w:rPr>
          <w:i/>
        </w:rPr>
        <w:t>Pay Equity Act</w:t>
      </w:r>
      <w:r>
        <w:rPr/>
        <w:t xml:space="preserve"> (hereinafter the "Act") which applies to all organizations in the province of Quebec that employ 10 employees or more, is to redress differences in compensation that are due to systemic gender discrimination suffered by persons who occupy positions in predominantly female job classes. </w:t>
      </w:r>
    </w:p>
    <w:p>
      <w:pPr>
        <w:pStyle w:val="Paragraphe1"/>
        <w:rPr/>
      </w:pPr>
      <w:r>
        <w:rPr/>
        <w:t>An employer who employs 100 and more employees must establish a Pay Equity Plan applicable throughout his organization and must enable employees to take part in the establishment of such a plan by setting up a Pay Equity Committee on which they are represented.  The Act provides that where the employees are represented by one or more unions, each must designate a representative to sit on the Committee and who is entitled to participate in the Pay Equity Committee's deliberations and the preparation of the Pay Equity Plan.</w:t>
      </w:r>
    </w:p>
    <w:p>
      <w:pPr>
        <w:pStyle w:val="Paragraphe1"/>
        <w:rPr/>
      </w:pPr>
      <w:r>
        <w:rPr/>
        <w:t>The Act provides that by November 21, 2001 at the latest, all employers covered by the Act must have determined whether adjustments in compensation are necessary or have established a Pay Equity Plan, as the case may be.  Rectification of differences in compensation i.e. payment must begin on this date.  By November 21, 2005, payments must be completed.</w:t>
      </w:r>
      <w:r>
        <w:br w:type="page"/>
      </w:r>
    </w:p>
    <w:p>
      <w:pPr>
        <w:pStyle w:val="Paragraphe1"/>
        <w:rPr/>
      </w:pPr>
      <w:r>
        <w:rPr/>
        <w:t>Briefly, the Act requires that employers with more than 100 employees:</w:t>
      </w:r>
    </w:p>
    <w:p>
      <w:pPr>
        <w:pStyle w:val="Heading1"/>
        <w:spacing w:before="0" w:after="60"/>
        <w:ind w:hanging="0" w:start="0"/>
        <w:rPr/>
      </w:pPr>
      <w:r>
        <w:rPr/>
        <w:t>set up a Pay Equity Committee;</w:t>
      </w:r>
    </w:p>
    <w:p>
      <w:pPr>
        <w:pStyle w:val="Heading1"/>
        <w:spacing w:before="0" w:after="60"/>
        <w:ind w:hanging="720" w:start="720" w:end="0"/>
        <w:rPr/>
      </w:pPr>
      <w:r>
        <w:rPr/>
        <w:t>identify the predominantly female and predominantly job classes within the establishment;</w:t>
      </w:r>
    </w:p>
    <w:p>
      <w:pPr>
        <w:pStyle w:val="Heading1"/>
        <w:spacing w:before="0" w:after="60"/>
        <w:ind w:hanging="720" w:start="720" w:end="0"/>
        <w:rPr/>
      </w:pPr>
      <w:r>
        <w:rPr/>
        <w:t>choose the method and the tools to evaluate the job classes and develop an evaluation procedure;</w:t>
      </w:r>
    </w:p>
    <w:p>
      <w:pPr>
        <w:pStyle w:val="Heading1"/>
        <w:spacing w:before="0" w:after="60"/>
        <w:ind w:hanging="720" w:start="720" w:end="0"/>
        <w:rPr/>
      </w:pPr>
      <w:r>
        <w:rPr/>
        <w:t>post the results of the job class identification and develop and evaluation procedure (this is done through the Pay Equity Committee);</w:t>
      </w:r>
    </w:p>
    <w:p>
      <w:pPr>
        <w:pStyle w:val="Heading1"/>
        <w:spacing w:before="0" w:after="60"/>
        <w:ind w:hanging="720" w:start="720" w:end="0"/>
        <w:rPr/>
      </w:pPr>
      <w:r>
        <w:rPr/>
        <w:t>post the results of the job class identification as well as the choices concerning the evaluation methods, the evaluation tools and the evaluation procedure;</w:t>
      </w:r>
    </w:p>
    <w:p>
      <w:pPr>
        <w:pStyle w:val="Heading1"/>
        <w:spacing w:before="0" w:after="60"/>
        <w:ind w:hanging="720" w:start="720" w:end="0"/>
        <w:rPr/>
      </w:pPr>
      <w:r>
        <w:rPr/>
        <w:t>evaluate the job classes;</w:t>
      </w:r>
    </w:p>
    <w:p>
      <w:pPr>
        <w:pStyle w:val="Heading1"/>
        <w:spacing w:before="0" w:after="60"/>
        <w:ind w:hanging="720" w:start="720" w:end="0"/>
        <w:rPr/>
      </w:pPr>
      <w:r>
        <w:rPr/>
        <w:t>determine the value of the differences in compensation;</w:t>
      </w:r>
    </w:p>
    <w:p>
      <w:pPr>
        <w:pStyle w:val="Heading1"/>
        <w:spacing w:before="0" w:after="60"/>
        <w:ind w:hanging="720" w:start="720" w:end="0"/>
        <w:rPr/>
      </w:pPr>
      <w:r>
        <w:rPr/>
        <w:t>define the terms and conditions of payment of compensation adjustments;</w:t>
      </w:r>
    </w:p>
    <w:p>
      <w:pPr>
        <w:pStyle w:val="Heading1"/>
        <w:spacing w:before="0" w:after="60"/>
        <w:ind w:hanging="720" w:start="720" w:end="0"/>
        <w:rPr/>
      </w:pPr>
      <w:r>
        <w:rPr/>
        <w:t>post the results;</w:t>
      </w:r>
    </w:p>
    <w:p>
      <w:pPr>
        <w:pStyle w:val="Heading1"/>
        <w:spacing w:before="0" w:after="60"/>
        <w:ind w:hanging="720" w:start="720" w:end="0"/>
        <w:rPr/>
      </w:pPr>
      <w:r>
        <w:rPr/>
        <w:t>pay adjustments in compensation;</w:t>
      </w:r>
    </w:p>
    <w:p>
      <w:pPr>
        <w:pStyle w:val="Heading1"/>
        <w:spacing w:before="0" w:after="60"/>
        <w:ind w:hanging="720" w:start="720" w:end="0"/>
        <w:rPr/>
      </w:pPr>
      <w:r>
        <w:rPr/>
        <w:t>maintain Pay Equity.</w:t>
      </w:r>
    </w:p>
    <w:p>
      <w:pPr>
        <w:pStyle w:val="Heading1"/>
        <w:numPr>
          <w:ilvl w:val="0"/>
          <w:numId w:val="0"/>
        </w:numPr>
        <w:spacing w:before="0" w:after="120"/>
        <w:ind w:hanging="0" w:start="0"/>
        <w:rPr/>
      </w:pPr>
      <w:r>
        <w:rPr/>
      </w:r>
    </w:p>
    <w:p>
      <w:pPr>
        <w:pStyle w:val="Paragraphe1"/>
        <w:rPr/>
      </w:pPr>
      <w:r>
        <w:rPr/>
        <w:t xml:space="preserve">The Act provides for penalties for not less than $1,000.00 and no more than $25,000.00 for, among other things, the failure for an employer who employs 100 or more employees to produce a Pay Equity Plan.  </w:t>
      </w:r>
    </w:p>
    <w:p>
      <w:pPr>
        <w:pStyle w:val="Paragraphe1"/>
        <w:rPr/>
      </w:pPr>
      <w:r>
        <w:rPr/>
        <w:t xml:space="preserve">Daishowa has until November 21, 2001 to produce a Pay Equity Plan and determine whether any adjustments i.e. payments must be made in accordance therewith.  </w:t>
      </w:r>
      <w:r>
        <w:rPr>
          <w:b/>
        </w:rPr>
        <w:t xml:space="preserve">Consequently, Daishowa is not presently in default of any obligations under the </w:t>
      </w:r>
      <w:r>
        <w:rPr>
          <w:b/>
          <w:i/>
        </w:rPr>
        <w:t xml:space="preserve">Pay Equity Act.  </w:t>
      </w:r>
    </w:p>
    <w:p>
      <w:pPr>
        <w:pStyle w:val="Paragraphe1"/>
        <w:rPr/>
      </w:pPr>
      <w:r>
        <w:rPr/>
        <w:t xml:space="preserve">However, as Daishowa cannot presently determine whether the implementation of Pay Equity will result in any financial liability on its part, </w:t>
      </w:r>
      <w:r>
        <w:rPr>
          <w:b/>
        </w:rPr>
        <w:t>it would be prudent for Enron to request some form of indemnification clause in the event that the implementation of Pay Equity does result in some liability.</w:t>
      </w:r>
    </w:p>
    <w:p>
      <w:pPr>
        <w:pStyle w:val="PARAGRAPHE"/>
        <w:rPr>
          <w:b/>
        </w:rPr>
      </w:pPr>
      <w:r>
        <w:rPr>
          <w:b/>
        </w:rPr>
        <w:t>LAID-OFF EMPLOYEES AT LEDUC SAW MILL</w:t>
      </w:r>
    </w:p>
    <w:p>
      <w:pPr>
        <w:pStyle w:val="Paragraphe1"/>
        <w:rPr/>
      </w:pPr>
      <w:r>
        <w:rPr/>
        <w:t xml:space="preserve">The following is a list of the laid-off employees.  </w:t>
      </w:r>
      <w:r>
        <w:rPr>
          <w:b/>
        </w:rPr>
        <w:t>We have been told that Daishowa does not expect to recall any of these employees</w:t>
      </w:r>
      <w:r>
        <w:rPr/>
        <w:t xml:space="preserve">.  The second column indicates the date of hire, the following column, the minimum notice that each employee could be entitled to in accordance with the date of hire, as provided by the </w:t>
      </w:r>
      <w:r>
        <w:rPr>
          <w:i/>
        </w:rPr>
        <w:t>Act Respecting Labour Standards (</w:t>
      </w:r>
      <w:r>
        <w:rPr/>
        <w:t xml:space="preserve">hereinafter "ARLS").  The final column indicates the number of weeks base salary that each employee might be able to lay claim to, taking into consideration the fact that each employee received one week's notice prior to being laid-off.  </w:t>
      </w:r>
      <w:r>
        <w:rPr>
          <w:b/>
        </w:rPr>
        <w:t xml:space="preserve">As you will notice, only 6 of the 44 employees could potentially lay claim to more than one week's salary. </w:t>
      </w:r>
      <w:r>
        <w:br w:type="page"/>
      </w:r>
    </w:p>
    <w:p>
      <w:pPr>
        <w:pStyle w:val="Paragraphe1"/>
        <w:rPr>
          <w:b/>
        </w:rPr>
      </w:pPr>
      <w:r>
        <w:rPr>
          <w:b/>
        </w:rPr>
      </w:r>
    </w:p>
    <w:tbl>
      <w:tblPr>
        <w:tblW w:w="9576" w:type="dxa"/>
        <w:jc w:val="center"/>
        <w:tblInd w:w="0" w:type="dxa"/>
        <w:tblLayout w:type="fixed"/>
        <w:tblCellMar>
          <w:top w:w="0" w:type="dxa"/>
          <w:start w:w="108" w:type="dxa"/>
          <w:bottom w:w="0" w:type="dxa"/>
          <w:end w:w="108" w:type="dxa"/>
        </w:tblCellMar>
      </w:tblPr>
      <w:tblGrid>
        <w:gridCol w:w="2898"/>
        <w:gridCol w:w="2430"/>
        <w:gridCol w:w="2160"/>
        <w:gridCol w:w="2088"/>
      </w:tblGrid>
      <w:tr>
        <w:trPr>
          <w:tblHeader w:val="true"/>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
              <w:spacing w:before="60" w:after="60"/>
              <w:jc w:val="start"/>
              <w:rPr>
                <w:b/>
              </w:rPr>
            </w:pPr>
            <w:r>
              <w:rPr>
                <w:b/>
              </w:rPr>
              <w:t>name</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
              <w:spacing w:before="60" w:after="60"/>
              <w:jc w:val="start"/>
              <w:rPr>
                <w:b/>
              </w:rPr>
            </w:pPr>
            <w:r>
              <w:rPr>
                <w:b/>
              </w:rPr>
              <w:t>date of hire</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
              <w:spacing w:before="60" w:after="60"/>
              <w:jc w:val="center"/>
              <w:rPr>
                <w:b/>
                <w:sz w:val="18"/>
              </w:rPr>
            </w:pPr>
            <w:r>
              <w:rPr>
                <w:b/>
                <w:sz w:val="18"/>
              </w:rPr>
              <w:t>minimum PROVIDED BY arls</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
              <w:spacing w:before="60" w:after="60"/>
              <w:jc w:val="center"/>
              <w:rPr>
                <w:b/>
                <w:caps w:val="false"/>
                <w:smallCaps w:val="false"/>
                <w:sz w:val="18"/>
              </w:rPr>
            </w:pPr>
            <w:r>
              <w:rPr>
                <w:b/>
                <w:caps w:val="false"/>
                <w:smallCaps w:val="false"/>
                <w:sz w:val="18"/>
              </w:rPr>
              <w:t># of weeks potentially outstanding</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PATRY, Michel</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4, 1988</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8</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7</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OUELLET, Daniel</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5, 1993</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4</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3</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PLAMONDON, Gilles</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4, 1993</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4</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3</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DUGUAY, Christian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4, 1993</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4</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3</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FLANSBERRY, René</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4, 1993</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4</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3</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BELZIL, Louis-Michel</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2, 1993</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4</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3</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MECTEAU, Richard</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4,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LÉGARÉ, Christian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3,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THOMASSIN, Gilles</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15,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PICARD, Michel</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13,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PAQUET, Yves</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13,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GERAGHTY, Yves</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16,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ST-PIERRE, Éric</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13,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METIVIER, Bruno</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19,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MARTEL, Pierre</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19,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TREMBLAY, Jimmy</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20,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LAPRISE, Jocelyn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August 20,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GRENON, Mario</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September 23,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GRENON, Michel</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September 30,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LAJEUNESSE, Patrick</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October 4, 1996</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THIBAULT, Garry</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April 4, 1997</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RHÉAUME, Patrick</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January 18,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BARBEAU, Christian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January 18,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PERRON, Jimmy</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January 18,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GOSSELIN, Frédéric</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January 18,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BOURGAULT, Jérôme</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January 25,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FLANSBERRY, Mario</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January 25,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CLOUTIER, Dave</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January 25,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start"/>
              <w:rPr/>
            </w:pPr>
            <w:r>
              <w:rPr/>
              <w:t>RAGEOT DE BEAURIVAGE, Jean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January 27,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LAFLAMME, Jocelyn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January 27,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ROCHETTE, Stéphan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1,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MALENFANT, Nelson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1,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POULIOT, Pierre</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1,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MADORE, Pierre</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1,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 xml:space="preserve">2 </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DIONNE, Steve</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10,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DION, Alexandre</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10,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CHASSÉ, Alain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10,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LABADIE, Michel</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16,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MARTIN, Réjean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16,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JOBIIN, Robert</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16,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ST-JEAN, Carl</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February 22,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THIBAULT, Nelson</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March 4,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TROTTIER, Marc</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March 5,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r>
        <w:trPr/>
        <w:tc>
          <w:tcPr>
            <w:tcW w:w="289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FOURNIER, Éric</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rPr/>
            </w:pPr>
            <w:r>
              <w:rPr/>
              <w:t>March 5, 1999</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2</w:t>
            </w:r>
          </w:p>
        </w:tc>
        <w:tc>
          <w:tcPr>
            <w:tcW w:w="2088" w:type="dxa"/>
            <w:tcBorders>
              <w:top w:val="single" w:sz="4" w:space="0" w:color="000000"/>
              <w:start w:val="single" w:sz="4" w:space="0" w:color="000000"/>
              <w:bottom w:val="single" w:sz="4" w:space="0" w:color="000000"/>
              <w:end w:val="single" w:sz="4" w:space="0" w:color="000000"/>
            </w:tcBorders>
            <w:vAlign w:val="center"/>
          </w:tcPr>
          <w:p>
            <w:pPr>
              <w:pStyle w:val="Paragraphe1"/>
              <w:spacing w:before="60" w:after="60"/>
              <w:jc w:val="center"/>
              <w:rPr/>
            </w:pPr>
            <w:r>
              <w:rPr/>
              <w:t>1</w:t>
            </w:r>
          </w:p>
        </w:tc>
      </w:tr>
    </w:tbl>
    <w:p>
      <w:pPr>
        <w:pStyle w:val="Paragraphe1"/>
        <w:rPr/>
      </w:pPr>
      <w:r>
        <w:rPr/>
      </w:r>
    </w:p>
    <w:p>
      <w:pPr>
        <w:pStyle w:val="Paragraphe1"/>
        <w:rPr/>
      </w:pPr>
      <w:r>
        <w:rPr>
          <w:b/>
        </w:rPr>
        <w:t>We wish to underline that the outstanding balance may not be owed to some or all of the employees, depending on the circumstances</w:t>
      </w:r>
      <w:r>
        <w:rPr/>
        <w:t>.  For example, certain of these employees may constitute seasonal employees as provided by the ARLS or have been hired for a fixed term in which case, the minimum notice provided by the ARLS is not required.</w:t>
      </w:r>
    </w:p>
    <w:p>
      <w:pPr>
        <w:pStyle w:val="Paragraphe1"/>
        <w:rPr/>
      </w:pPr>
      <w:r>
        <w:rPr/>
      </w:r>
    </w:p>
    <w:p>
      <w:pPr>
        <w:pStyle w:val="TITRE"/>
        <w:spacing w:before="0" w:after="120"/>
        <w:rPr>
          <w:sz w:val="24"/>
        </w:rPr>
      </w:pPr>
      <w:r>
        <w:rPr>
          <w:sz w:val="24"/>
        </w:rPr>
        <w:t>list of grievances filed between</w:t>
        <w:br/>
        <w:t>May 31, 2000 and november 29, 2000</w:t>
        <w:br/>
        <w:t>ESTIMATE of potential exposure</w:t>
      </w:r>
    </w:p>
    <w:p>
      <w:pPr>
        <w:pStyle w:val="TITRE"/>
        <w:spacing w:before="0" w:after="120"/>
        <w:rPr>
          <w:sz w:val="24"/>
        </w:rPr>
      </w:pPr>
      <w:r>
        <w:rPr>
          <w:sz w:val="24"/>
        </w:rPr>
      </w:r>
    </w:p>
    <w:p>
      <w:pPr>
        <w:pStyle w:val="Paragraphe1"/>
        <w:rPr/>
      </w:pPr>
      <w:r>
        <w:rPr/>
        <w:t xml:space="preserve">The following is a list of all of the outstanding grievances as of November 29, 2000 with a brief description of the grievance.  We have indicated grievances for which Mr. Larose estimates that the potential financial exposure is NIL or next to NIL.  </w:t>
      </w:r>
      <w:r>
        <w:rPr>
          <w:b/>
        </w:rPr>
        <w:t>Mr. Larose</w:t>
      </w:r>
      <w:r>
        <w:rPr/>
        <w:t xml:space="preserve"> </w:t>
      </w:r>
      <w:r>
        <w:rPr>
          <w:b/>
        </w:rPr>
        <w:t>has informed us that he estimates the dollar value of the totality of the other grievances at less than $5,000.00 CDN.</w:t>
      </w:r>
      <w:r>
        <w:br w:type="page"/>
      </w:r>
    </w:p>
    <w:p>
      <w:pPr>
        <w:pStyle w:val="Paragraphe1"/>
        <w:rPr>
          <w:b/>
        </w:rPr>
      </w:pPr>
      <w:r>
        <w:rPr>
          <w:b/>
        </w:rPr>
      </w:r>
    </w:p>
    <w:tbl>
      <w:tblPr>
        <w:tblW w:w="9520" w:type="dxa"/>
        <w:jc w:val="start"/>
        <w:tblInd w:w="0" w:type="dxa"/>
        <w:tblLayout w:type="fixed"/>
        <w:tblCellMar>
          <w:top w:w="0" w:type="dxa"/>
          <w:start w:w="70" w:type="dxa"/>
          <w:bottom w:w="0" w:type="dxa"/>
          <w:end w:w="70" w:type="dxa"/>
        </w:tblCellMar>
      </w:tblPr>
      <w:tblGrid>
        <w:gridCol w:w="2140"/>
        <w:gridCol w:w="3330"/>
        <w:gridCol w:w="750"/>
        <w:gridCol w:w="750"/>
        <w:gridCol w:w="750"/>
        <w:gridCol w:w="1800"/>
      </w:tblGrid>
      <w:tr>
        <w:trPr>
          <w:tblHeader w:val="true"/>
        </w:trPr>
        <w:tc>
          <w:tcPr>
            <w:tcW w:w="2140" w:type="dxa"/>
            <w:tcBorders>
              <w:top w:val="single" w:sz="4" w:space="0" w:color="000000"/>
              <w:start w:val="single" w:sz="4" w:space="0" w:color="000000"/>
              <w:bottom w:val="single" w:sz="4" w:space="0" w:color="000000"/>
              <w:end w:val="single" w:sz="4" w:space="0" w:color="000000"/>
            </w:tcBorders>
            <w:vAlign w:val="center"/>
          </w:tcPr>
          <w:p>
            <w:pPr>
              <w:pStyle w:val="Paragraphe1"/>
              <w:tabs>
                <w:tab w:val="clear" w:pos="709"/>
                <w:tab w:val="left" w:pos="720" w:leader="none"/>
              </w:tabs>
              <w:spacing w:before="60" w:after="60"/>
              <w:ind w:hanging="720" w:start="720" w:end="0"/>
              <w:rPr>
                <w:b/>
                <w:sz w:val="24"/>
              </w:rPr>
            </w:pPr>
            <w:r>
              <w:rPr>
                <w:b/>
                <w:sz w:val="24"/>
              </w:rPr>
              <w:t>DATE</w:t>
            </w:r>
          </w:p>
        </w:tc>
        <w:tc>
          <w:tcPr>
            <w:tcW w:w="3330" w:type="dxa"/>
            <w:tcBorders>
              <w:top w:val="single" w:sz="4" w:space="0" w:color="000000"/>
              <w:start w:val="single" w:sz="4" w:space="0" w:color="000000"/>
              <w:bottom w:val="single" w:sz="4" w:space="0" w:color="000000"/>
              <w:end w:val="single" w:sz="4" w:space="0" w:color="000000"/>
            </w:tcBorders>
            <w:vAlign w:val="center"/>
          </w:tcPr>
          <w:p>
            <w:pPr>
              <w:pStyle w:val="Paragraphe1"/>
              <w:tabs>
                <w:tab w:val="clear" w:pos="709"/>
                <w:tab w:val="left" w:pos="720" w:leader="none"/>
              </w:tabs>
              <w:spacing w:before="60" w:after="60"/>
              <w:ind w:hanging="720" w:start="720" w:end="0"/>
              <w:jc w:val="start"/>
              <w:rPr>
                <w:b/>
                <w:sz w:val="24"/>
              </w:rPr>
            </w:pPr>
            <w:r>
              <w:rPr>
                <w:b/>
                <w:sz w:val="24"/>
              </w:rPr>
              <w:t xml:space="preserve">DESCRIPTION </w:t>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Paragraphe1"/>
              <w:tabs>
                <w:tab w:val="clear" w:pos="709"/>
                <w:tab w:val="left" w:pos="720" w:leader="none"/>
              </w:tabs>
              <w:spacing w:before="60" w:after="60"/>
              <w:ind w:hanging="720" w:start="720" w:end="0"/>
              <w:jc w:val="center"/>
              <w:rPr>
                <w:b/>
                <w:sz w:val="24"/>
              </w:rPr>
            </w:pPr>
            <w:r>
              <w:rPr>
                <w:b/>
                <w:sz w:val="24"/>
              </w:rPr>
              <w:t>137</w:t>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Paragraphe1"/>
              <w:tabs>
                <w:tab w:val="clear" w:pos="709"/>
                <w:tab w:val="left" w:pos="720" w:leader="none"/>
              </w:tabs>
              <w:spacing w:before="60" w:after="60"/>
              <w:ind w:hanging="720" w:start="720" w:end="0"/>
              <w:jc w:val="center"/>
              <w:rPr>
                <w:b/>
                <w:sz w:val="24"/>
              </w:rPr>
            </w:pPr>
            <w:r>
              <w:rPr>
                <w:b/>
                <w:sz w:val="24"/>
              </w:rPr>
              <w:t>250</w:t>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Paragraphe1"/>
              <w:tabs>
                <w:tab w:val="clear" w:pos="709"/>
                <w:tab w:val="left" w:pos="720" w:leader="none"/>
              </w:tabs>
              <w:spacing w:before="60" w:after="60"/>
              <w:ind w:hanging="720" w:start="720" w:end="0"/>
              <w:jc w:val="center"/>
              <w:rPr>
                <w:b/>
                <w:sz w:val="24"/>
              </w:rPr>
            </w:pPr>
            <w:r>
              <w:rPr>
                <w:b/>
                <w:sz w:val="24"/>
              </w:rPr>
              <w:t>200</w:t>
            </w:r>
          </w:p>
        </w:tc>
        <w:tc>
          <w:tcPr>
            <w:tcW w:w="1800" w:type="dxa"/>
            <w:tcBorders>
              <w:top w:val="single" w:sz="4" w:space="0" w:color="000000"/>
              <w:start w:val="single" w:sz="4" w:space="0" w:color="000000"/>
              <w:bottom w:val="single" w:sz="4" w:space="0" w:color="000000"/>
              <w:end w:val="single" w:sz="4" w:space="0" w:color="000000"/>
            </w:tcBorders>
          </w:tcPr>
          <w:p>
            <w:pPr>
              <w:pStyle w:val="Paragraphe1"/>
              <w:spacing w:before="60" w:after="60"/>
              <w:ind w:firstLine="7" w:start="-7" w:end="0"/>
              <w:jc w:val="center"/>
              <w:rPr>
                <w:b/>
                <w:sz w:val="24"/>
              </w:rPr>
            </w:pPr>
            <w:r>
              <w:rPr>
                <w:b/>
                <w:sz w:val="24"/>
              </w:rPr>
              <w:t>POTENTIAL FINANCIAL EXPOSURE</w:t>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June 12,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Posting of permanent position</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spacing w:before="60" w:after="60"/>
              <w:jc w:val="center"/>
              <w:rPr>
                <w:rFonts w:ascii="Lucida Sans Unicode" w:hAnsi="Lucida Sans Unicode" w:cs="Lucida Sans Unicode"/>
              </w:rPr>
            </w:pPr>
            <w:r>
              <w:rPr>
                <w:rFonts w:cs="Lucida Sans Unicode" w:ascii="Lucida Sans Unicode" w:hAnsi="Lucida Sans Unicode"/>
              </w:rPr>
              <w:t>Ø</w:t>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June 14,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Respect of union certifications</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June 20,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Disciplinary notice</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b/>
              </w:rPr>
            </w:pPr>
            <w:r>
              <w:rPr>
                <w:rFonts w:cs="Lucida Sans Unicode" w:ascii="Lucida Sans Unicode" w:hAnsi="Lucida Sans Unicode"/>
              </w:rPr>
              <w:t>Ø</w:t>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June 20,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Posting of permanent position</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June 20,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Posting of temporary position</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b/>
              </w:rPr>
            </w:pPr>
            <w:r>
              <w:rPr>
                <w:rFonts w:cs="Lucida Sans Unicode" w:ascii="Lucida Sans Unicode" w:hAnsi="Lucida Sans Unicode"/>
              </w:rPr>
              <w:t>Ø</w:t>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July 4,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Transfer to a department</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July 4,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Line of progression</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$65.</w:t>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July 4,2000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Respect of line of progression</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July 4,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Respect of vacation</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rFonts w:ascii="Lucida Sans Unicode" w:hAnsi="Lucida Sans Unicode" w:cs="Lucida Sans Unicode"/>
              </w:rPr>
            </w:pPr>
            <w:r>
              <w:rPr>
                <w:rFonts w:cs="Lucida Sans Unicode" w:ascii="Lucida Sans Unicode" w:hAnsi="Lucida Sans Unicode"/>
              </w:rPr>
              <w:t>Ø</w:t>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July 11,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Respect of trades</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r>
      <w:tr>
        <w:trPr>
          <w:trHeight w:val="369" w:hRule="atLeast"/>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August 2,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Respect of work hours</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rFonts w:ascii="Lucida Sans Unicode" w:hAnsi="Lucida Sans Unicode" w:cs="Lucida Sans Unicode"/>
              </w:rPr>
            </w:pPr>
            <w:r>
              <w:rPr>
                <w:rFonts w:cs="Lucida Sans Unicode" w:ascii="Lucida Sans Unicode" w:hAnsi="Lucida Sans Unicode"/>
              </w:rPr>
              <w:t>Ø</w:t>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August 3,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Overtime</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August 28,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Respect of union certifications</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rFonts w:ascii="Lucida Sans Unicode" w:hAnsi="Lucida Sans Unicode" w:cs="Lucida Sans Unicode"/>
              </w:rPr>
            </w:pPr>
            <w:r>
              <w:rPr>
                <w:rFonts w:cs="Lucida Sans Unicode" w:ascii="Lucida Sans Unicode" w:hAnsi="Lucida Sans Unicode"/>
              </w:rPr>
              <w:t>Ø</w:t>
            </w:r>
          </w:p>
        </w:tc>
      </w:tr>
      <w:tr>
        <w:trPr>
          <w:trHeight w:val="414" w:hRule="atLeast"/>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September 21,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Disciplinary notice</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September 21,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Overtime</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September 26,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Respect of trades</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rFonts w:ascii="Lucida Sans Unicode" w:hAnsi="Lucida Sans Unicode" w:cs="Lucida Sans Unicode"/>
              </w:rPr>
            </w:pPr>
            <w:r>
              <w:rPr>
                <w:rFonts w:cs="Lucida Sans Unicode" w:ascii="Lucida Sans Unicode" w:hAnsi="Lucida Sans Unicode"/>
              </w:rPr>
              <w:t>Ø</w:t>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September 28,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Recall back to work</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November 1,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Overtime</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rFonts w:ascii="Lucida Sans Unicode" w:hAnsi="Lucida Sans Unicode" w:cs="Lucida Sans Unicode"/>
              </w:rPr>
            </w:pPr>
            <w:r>
              <w:rPr>
                <w:rFonts w:cs="Lucida Sans Unicode" w:ascii="Lucida Sans Unicode" w:hAnsi="Lucida Sans Unicode"/>
              </w:rPr>
              <w:t>Ø</w:t>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November 6,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Recall back to work</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r>
      <w:tr>
        <w:trPr/>
        <w:tc>
          <w:tcPr>
            <w:tcW w:w="214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rPr/>
            </w:pPr>
            <w:r>
              <w:rPr/>
              <w:t>November 17, 2000</w:t>
            </w:r>
          </w:p>
        </w:tc>
        <w:tc>
          <w:tcPr>
            <w:tcW w:w="333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start"/>
              <w:rPr/>
            </w:pPr>
            <w:r>
              <w:rPr/>
              <w:t>Meal tick</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X</w:t>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75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napToGrid w:val="false"/>
              <w:spacing w:before="60" w:after="60"/>
              <w:jc w:val="center"/>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Paragraphe1"/>
              <w:tabs>
                <w:tab w:val="clear" w:pos="709"/>
                <w:tab w:val="left" w:pos="720" w:leader="none"/>
              </w:tabs>
              <w:spacing w:before="60" w:after="60"/>
              <w:jc w:val="center"/>
              <w:rPr/>
            </w:pPr>
            <w:r>
              <w:rPr/>
              <w:t>$5.50</w:t>
            </w:r>
          </w:p>
        </w:tc>
      </w:tr>
    </w:tbl>
    <w:p>
      <w:pPr>
        <w:pStyle w:val="Paragraphe1"/>
        <w:rPr/>
      </w:pPr>
      <w:r>
        <w:rPr/>
      </w:r>
    </w:p>
    <w:p>
      <w:pPr>
        <w:pStyle w:val="Numrodedocument"/>
        <w:rPr/>
      </w:pPr>
      <w:r>
        <w:rPr>
          <w:rFonts w:eastAsia="Arial"/>
        </w:rPr>
        <w:t xml:space="preserve"> </w:t>
      </w:r>
      <w:r>
        <w:rPr/>
        <w:t>(612744 v3)</w:t>
      </w:r>
    </w:p>
    <w:sectPr>
      <w:headerReference w:type="default" r:id="rId2"/>
      <w:headerReference w:type="first" r:id="rId3"/>
      <w:footerReference w:type="default" r:id="rId4"/>
      <w:footerReference w:type="first" r:id="rId5"/>
      <w:type w:val="nextPage"/>
      <w:pgSz w:w="12240" w:h="15840"/>
      <w:pgMar w:left="1440" w:right="1440" w:gutter="0" w:header="346" w:top="402" w:footer="216"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Lucida Sans Unicode">
    <w:charset w:val="00" w:characterSet="windows-1252"/>
    <w:family w:val="swiss"/>
    <w:pitch w:val="variable"/>
  </w:font>
  <w:font w:name="Gill San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40" w:type="dxa"/>
      <w:jc w:val="center"/>
      <w:tblInd w:w="0" w:type="dxa"/>
      <w:tblLayout w:type="fixed"/>
      <w:tblCellMar>
        <w:top w:w="0" w:type="dxa"/>
        <w:start w:w="70" w:type="dxa"/>
        <w:bottom w:w="0" w:type="dxa"/>
        <w:end w:w="70" w:type="dxa"/>
      </w:tblCellMar>
    </w:tblPr>
    <w:tblGrid>
      <w:gridCol w:w="11340"/>
    </w:tblGrid>
    <w:tr>
      <w:trPr/>
      <w:tc>
        <w:tcPr>
          <w:tcW w:w="11340" w:type="dxa"/>
          <w:tcBorders/>
        </w:tcPr>
        <w:p>
          <w:pPr>
            <w:pStyle w:val="Footer"/>
            <w:jc w:val="center"/>
            <w:rPr>
              <w:rFonts w:ascii="Gill Sans" w:hAnsi="Gill Sans" w:cs="Gill Sans"/>
              <w:smallCaps/>
              <w:sz w:val="18"/>
            </w:rPr>
          </w:pPr>
          <w:r>
            <w:rPr>
              <w:rFonts w:cs="Gill Sans" w:ascii="Gill Sans" w:hAnsi="Gill Sans"/>
              <w:smallCaps/>
              <w:sz w:val="18"/>
            </w:rPr>
            <w:t>trade mark agents</w:t>
          </w:r>
        </w:p>
      </w:tc>
    </w:tr>
    <w:tr>
      <w:trPr/>
      <w:tc>
        <w:tcPr>
          <w:tcW w:w="11340" w:type="dxa"/>
          <w:tcBorders>
            <w:top w:val="single" w:sz="4" w:space="0" w:color="000000"/>
          </w:tcBorders>
        </w:tcPr>
        <w:p>
          <w:pPr>
            <w:pStyle w:val="Footer"/>
            <w:spacing w:lineRule="exact" w:line="200"/>
            <w:jc w:val="center"/>
            <w:rPr>
              <w:rFonts w:ascii="Gill Sans" w:hAnsi="Gill Sans" w:cs="Gill Sans"/>
              <w:spacing w:val="-2"/>
              <w:sz w:val="16"/>
            </w:rPr>
          </w:pPr>
          <w:r>
            <w:rPr>
              <w:rFonts w:cs="Gill Sans" w:ascii="Gill Sans" w:hAnsi="Gill Sans"/>
              <w:spacing w:val="-2"/>
              <w:sz w:val="16"/>
            </w:rPr>
            <w:t xml:space="preserve">1250 René-Lévesque West, Suite 1400, Montreal, Quebec H3B 5E9  Telephone: (514) 925-6300  Telecopier: (514) 925-9001  E-Mail: </w:t>
          </w:r>
          <w:hyperlink r:id="rId1">
            <w:r>
              <w:rPr>
                <w:rStyle w:val="Hyperlink"/>
                <w:rFonts w:cs="Gill Sans" w:ascii="Gill Sans" w:hAnsi="Gill Sans"/>
                <w:spacing w:val="-2"/>
                <w:sz w:val="16"/>
              </w:rPr>
              <w:t>general@lapros.qc.ca</w:t>
            </w:r>
          </w:hyperlink>
        </w:p>
        <w:p>
          <w:pPr>
            <w:pStyle w:val="Footer"/>
            <w:spacing w:lineRule="exact" w:line="200"/>
            <w:jc w:val="center"/>
            <w:rPr>
              <w:rFonts w:ascii="Gill Sans" w:hAnsi="Gill Sans" w:cs="Gill Sans"/>
              <w:spacing w:val="-2"/>
              <w:sz w:val="16"/>
            </w:rPr>
          </w:pPr>
          <w:r>
            <w:rPr>
              <w:rFonts w:cs="Gill Sans" w:ascii="Gill Sans" w:hAnsi="Gill Sans"/>
              <w:spacing w:val="-2"/>
              <w:sz w:val="16"/>
            </w:rPr>
            <w:t>http://www.lapros.qc.ca</w:t>
          </w:r>
        </w:p>
      </w:tc>
    </w:tr>
  </w:tbl>
  <w:p>
    <w:pPr>
      <w:pStyle w:val="Footer"/>
      <w:jc w:val="center"/>
      <w:rPr>
        <w:spacing w:val="-8"/>
        <w:sz w:val="14"/>
      </w:rPr>
    </w:pPr>
    <w:r>
      <w:rPr>
        <w:spacing w:val="-8"/>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438" w:type="dxa"/>
      <w:jc w:val="center"/>
      <w:tblInd w:w="0" w:type="dxa"/>
      <w:tblLayout w:type="fixed"/>
      <w:tblCellMar>
        <w:top w:w="0" w:type="dxa"/>
        <w:start w:w="70" w:type="dxa"/>
        <w:bottom w:w="0" w:type="dxa"/>
        <w:end w:w="70" w:type="dxa"/>
      </w:tblCellMar>
    </w:tblPr>
    <w:tblGrid>
      <w:gridCol w:w="2438"/>
    </w:tblGrid>
    <w:tr>
      <w:trPr>
        <w:trHeight w:val="737" w:hRule="exact"/>
      </w:trPr>
      <w:tc>
        <w:tcPr>
          <w:tcW w:w="2438" w:type="dxa"/>
          <w:tcBorders>
            <w:top w:val="single" w:sz="4" w:space="0" w:color="000000"/>
            <w:start w:val="single" w:sz="4" w:space="0" w:color="000000"/>
            <w:bottom w:val="single" w:sz="4" w:space="0" w:color="000000"/>
            <w:end w:val="single" w:sz="4" w:space="0" w:color="000000"/>
          </w:tcBorders>
          <w:shd w:fill="000000" w:val="clear"/>
          <w:vAlign w:val="center"/>
        </w:tcPr>
        <w:p>
          <w:pPr>
            <w:pStyle w:val="Header"/>
            <w:jc w:val="center"/>
            <w:rPr>
              <w:rFonts w:ascii="Garamond" w:hAnsi="Garamond" w:cs="Garamond"/>
            </w:rPr>
          </w:pPr>
          <w:r>
            <w:rPr>
              <w:rFonts w:cs="Garamond" w:ascii="Garamond" w:hAnsi="Garamond"/>
            </w:rPr>
            <w:t>Lapointe Rosenstein</w:t>
          </w:r>
        </w:p>
      </w:tc>
    </w:tr>
    <w:tr>
      <w:trPr>
        <w:trHeight w:val="680" w:hRule="exact"/>
      </w:trPr>
      <w:tc>
        <w:tcPr>
          <w:tcW w:w="2438" w:type="dxa"/>
          <w:tcBorders>
            <w:top w:val="single" w:sz="4" w:space="0" w:color="000000"/>
            <w:start w:val="single" w:sz="4" w:space="0" w:color="000000"/>
            <w:bottom w:val="single" w:sz="4" w:space="0" w:color="000000"/>
            <w:end w:val="single" w:sz="4" w:space="0" w:color="000000"/>
          </w:tcBorders>
          <w:vAlign w:val="center"/>
        </w:tcPr>
        <w:p>
          <w:pPr>
            <w:pStyle w:val="Header"/>
            <w:snapToGrid w:val="false"/>
            <w:jc w:val="center"/>
            <w:rPr>
              <w:rFonts w:ascii="Garamond" w:hAnsi="Garamond" w:cs="Garamond"/>
              <w:color w:val="FFFFFF"/>
              <w:sz w:val="18"/>
            </w:rPr>
          </w:pPr>
          <w:r>
            <w:rPr>
              <w:rFonts w:cs="Garamond" w:ascii="Garamond" w:hAnsi="Garamond"/>
              <w:color w:val="FFFFFF"/>
              <w:sz w:val="18"/>
            </w:rPr>
          </w:r>
        </w:p>
      </w:tc>
    </w:tr>
  </w:tbl>
  <w:p>
    <w:pPr>
      <w:pStyle w:val="Header"/>
      <w:jc w:val="center"/>
      <w:rPr>
        <w:rFonts w:ascii="Times New Roman" w:hAnsi="Times New Roman" w:cs="Times New Roman"/>
      </w:rPr>
    </w:pPr>
    <w:r>
      <w:rPr>
        <w:rFonts w:cs="Times New Roman" w:ascii="Times New Roman" w:hAnsi="Times New Roman"/>
      </w:rPr>
    </w:r>
  </w:p>
  <w:p>
    <w:pPr>
      <w:pStyle w:val="Header"/>
      <w:spacing w:before="0" w:after="480"/>
      <w:jc w:val="center"/>
      <w:rPr/>
    </w:pPr>
    <w:r>
      <w:rPr/>
      <w:t>–</w:t>
    </w:r>
    <w:r>
      <w:rPr>
        <w:rFonts w:eastAsia="Arial"/>
      </w:rPr>
      <w:t xml:space="preserve"> </w:t>
    </w:r>
    <w:r>
      <w:rPr/>
      <w:fldChar w:fldCharType="begin"/>
    </w:r>
    <w:r>
      <w:rPr/>
      <w:instrText xml:space="preserve"> PAGE </w:instrText>
    </w:r>
    <w:r>
      <w:rPr/>
      <w:fldChar w:fldCharType="separate"/>
    </w:r>
    <w:r>
      <w:rPr/>
      <w:t>5</w:t>
    </w:r>
    <w:r>
      <w:rPr/>
      <w:fldChar w:fldCharType="end"/>
    </w:r>
    <w:r>
      <w:rPr>
        <w:rFonts w:eastAsia="Arial"/>
      </w:rPr>
      <w:t xml:space="preserve"> </w:t>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402" w:type="dxa"/>
      <w:jc w:val="center"/>
      <w:tblInd w:w="0" w:type="dxa"/>
      <w:tblLayout w:type="fixed"/>
      <w:tblCellMar>
        <w:top w:w="0" w:type="dxa"/>
        <w:start w:w="70" w:type="dxa"/>
        <w:bottom w:w="0" w:type="dxa"/>
        <w:end w:w="70" w:type="dxa"/>
      </w:tblCellMar>
    </w:tblPr>
    <w:tblGrid>
      <w:gridCol w:w="3402"/>
    </w:tblGrid>
    <w:tr>
      <w:trPr>
        <w:trHeight w:val="1021" w:hRule="exact"/>
      </w:trPr>
      <w:tc>
        <w:tcPr>
          <w:tcW w:w="3402" w:type="dxa"/>
          <w:tcBorders>
            <w:top w:val="single" w:sz="4" w:space="0" w:color="000000"/>
            <w:start w:val="single" w:sz="4" w:space="0" w:color="000000"/>
            <w:bottom w:val="single" w:sz="4" w:space="0" w:color="000000"/>
            <w:end w:val="single" w:sz="4" w:space="0" w:color="000000"/>
          </w:tcBorders>
          <w:shd w:fill="000000" w:val="clear"/>
          <w:vAlign w:val="center"/>
        </w:tcPr>
        <w:p>
          <w:pPr>
            <w:pStyle w:val="Logo"/>
            <w:rPr/>
          </w:pPr>
          <w:r>
            <w:rPr/>
            <w:t>Lapointe Rosenstein</w:t>
          </w:r>
        </w:p>
      </w:tc>
    </w:tr>
    <w:tr>
      <w:trPr>
        <w:trHeight w:val="907" w:hRule="exact"/>
      </w:trPr>
      <w:tc>
        <w:tcPr>
          <w:tcW w:w="3402" w:type="dxa"/>
          <w:tcBorders>
            <w:start w:val="single" w:sz="4" w:space="0" w:color="000000"/>
            <w:bottom w:val="single" w:sz="4" w:space="0" w:color="000000"/>
            <w:end w:val="single" w:sz="4" w:space="0" w:color="000000"/>
          </w:tcBorders>
          <w:shd w:fill="FFFFFF" w:val="clear"/>
          <w:vAlign w:val="center"/>
        </w:tcPr>
        <w:p>
          <w:pPr>
            <w:pStyle w:val="Logo"/>
            <w:rPr>
              <w:rFonts w:ascii="Gill Sans" w:hAnsi="Gill Sans" w:cs="Gill Sans"/>
              <w:smallCaps/>
              <w:spacing w:val="16"/>
              <w:sz w:val="16"/>
            </w:rPr>
          </w:pPr>
          <w:r>
            <w:rPr>
              <w:rFonts w:cs="Gill Sans" w:ascii="Gill Sans" w:hAnsi="Gill Sans"/>
              <w:smallCaps/>
              <w:spacing w:val="16"/>
              <w:sz w:val="16"/>
            </w:rPr>
            <w:t>a general partnership</w:t>
          </w:r>
        </w:p>
        <w:p>
          <w:pPr>
            <w:pStyle w:val="Logo"/>
            <w:rPr>
              <w:spacing w:val="36"/>
              <w:sz w:val="25"/>
            </w:rPr>
          </w:pPr>
          <w:r>
            <w:rPr>
              <w:spacing w:val="36"/>
              <w:sz w:val="25"/>
            </w:rPr>
            <w:t>Barristers &amp; Solicitors</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decimal"/>
      <w:lvlText w:val="%1.%2"/>
      <w:lvlJc w:val="start"/>
      <w:pPr>
        <w:tabs>
          <w:tab w:val="num" w:pos="720"/>
        </w:tabs>
        <w:ind w:start="720" w:hanging="720"/>
      </w:pPr>
    </w:lvl>
    <w:lvl w:ilvl="2">
      <w:start w:val="1"/>
      <w:pStyle w:val="Heading3"/>
      <w:numFmt w:val="lowerLetter"/>
      <w:lvlText w:val="(%3)"/>
      <w:lvlJc w:val="start"/>
      <w:pPr>
        <w:tabs>
          <w:tab w:val="num" w:pos="1440"/>
        </w:tabs>
        <w:ind w:start="1440" w:hanging="720"/>
      </w:pPr>
    </w:lvl>
    <w:lvl w:ilvl="3">
      <w:start w:val="1"/>
      <w:pStyle w:val="Heading4"/>
      <w:numFmt w:val="lowerRoman"/>
      <w:lvlText w:val="(%4)"/>
      <w:lvlJc w:val="start"/>
      <w:pPr>
        <w:tabs>
          <w:tab w:val="num" w:pos="2160"/>
        </w:tabs>
        <w:ind w:start="2160" w:hanging="720"/>
      </w:pPr>
    </w:lvl>
    <w:lvl w:ilvl="4">
      <w:start w:val="1"/>
      <w:pStyle w:val="Heading5"/>
      <w:numFmt w:val="bullet"/>
      <w:lvlText w:val=""/>
      <w:lvlJc w:val="start"/>
      <w:pPr>
        <w:tabs>
          <w:tab w:val="num" w:pos="2160"/>
        </w:tabs>
        <w:ind w:start="2160" w:hanging="720"/>
      </w:pPr>
      <w:rPr>
        <w:rFonts w:ascii="Symbol" w:hAnsi="Symbol" w:cs="Symbol" w:hint="default"/>
        <w:color w:val="auto"/>
      </w:rPr>
    </w:lvl>
    <w:lvl w:ilvl="5">
      <w:start w:val="1"/>
      <w:numFmt w:val="lowerLetter"/>
      <w:lvlText w:val="%6)"/>
      <w:lvlJc w:val="start"/>
      <w:pPr>
        <w:tabs>
          <w:tab w:val="num" w:pos="2880"/>
        </w:tabs>
        <w:ind w:start="2880" w:hanging="720"/>
      </w:pPr>
    </w:lvl>
    <w:lvl w:ilvl="6">
      <w:start w:val="1"/>
      <w:numFmt w:val="lowerRoman"/>
      <w:lvlText w:val="%7)"/>
      <w:lvlJc w:val="start"/>
      <w:pPr>
        <w:tabs>
          <w:tab w:val="num" w:pos="3600"/>
        </w:tabs>
        <w:ind w:start="3600" w:hanging="720"/>
      </w:pPr>
    </w:lvl>
    <w:lvl w:ilvl="7">
      <w:start w:val="1"/>
      <w:numFmt w:val="upperRoman"/>
      <w:lvlText w:val="%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CA" w:eastAsia="zh-CN" w:bidi="hi-IN"/>
    </w:rPr>
  </w:style>
  <w:style w:type="paragraph" w:styleId="Heading1">
    <w:name w:val="heading 1"/>
    <w:basedOn w:val="Normal"/>
    <w:next w:val="BodyText"/>
    <w:qFormat/>
    <w:pPr>
      <w:numPr>
        <w:ilvl w:val="0"/>
        <w:numId w:val="1"/>
      </w:numPr>
      <w:tabs>
        <w:tab w:val="clear" w:pos="709"/>
        <w:tab w:val="left" w:pos="720" w:leader="none"/>
      </w:tabs>
      <w:spacing w:before="0" w:after="240"/>
      <w:jc w:val="both"/>
      <w:outlineLvl w:val="0"/>
    </w:pPr>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character" w:styleId="WW8Num2z4">
    <w:name w:val="WW8Num2z4"/>
    <w:qFormat/>
    <w:rPr>
      <w:rFonts w:ascii="Symbol" w:hAnsi="Symbol" w:cs="Symbol"/>
      <w:color w:val="auto"/>
    </w:rPr>
  </w:style>
  <w:style w:type="character" w:styleId="WW8Num3z0">
    <w:name w:val="WW8Num3z0"/>
    <w:qFormat/>
    <w:rPr>
      <w:rFonts w:ascii="Times New Roman" w:hAnsi="Times New Roman" w:cs="Times New Roman"/>
    </w:rPr>
  </w:style>
  <w:style w:type="character" w:styleId="Policepardfaut">
    <w:name w:val="Police par défau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320" w:leader="none"/>
        <w:tab w:val="right" w:pos="8640" w:leader="none"/>
      </w:tabs>
    </w:pPr>
    <w:rPr/>
  </w:style>
  <w:style w:type="paragraph" w:styleId="BodyTextIndent">
    <w:name w:val="Body Text Indent"/>
    <w:basedOn w:val="Normal"/>
    <w:pPr>
      <w:spacing w:before="0" w:after="240"/>
      <w:ind w:hanging="0" w:start="720" w:end="720"/>
      <w:jc w:val="both"/>
    </w:pPr>
    <w:rPr/>
  </w:style>
  <w:style w:type="paragraph" w:styleId="Normalcentr">
    <w:name w:val="Normal centré"/>
    <w:basedOn w:val="Normal"/>
    <w:qFormat/>
    <w:pPr>
      <w:spacing w:before="0" w:after="240"/>
      <w:ind w:hanging="0" w:start="1440" w:end="1440"/>
      <w:jc w:val="both"/>
    </w:pPr>
    <w:rPr/>
  </w:style>
  <w:style w:type="paragraph" w:styleId="Footer">
    <w:name w:val="footer"/>
    <w:basedOn w:val="Normal"/>
    <w:pPr>
      <w:tabs>
        <w:tab w:val="clear" w:pos="709"/>
        <w:tab w:val="center" w:pos="4320" w:leader="none"/>
        <w:tab w:val="right" w:pos="8640" w:leader="none"/>
      </w:tabs>
    </w:pPr>
    <w:rPr/>
  </w:style>
  <w:style w:type="paragraph" w:styleId="PARAGRAPHE">
    <w:name w:val="PARAGRAPHE"/>
    <w:basedOn w:val="Normal"/>
    <w:qFormat/>
    <w:pPr>
      <w:spacing w:before="0" w:after="240"/>
      <w:jc w:val="both"/>
    </w:pPr>
    <w:rPr>
      <w:caps/>
    </w:rPr>
  </w:style>
  <w:style w:type="paragraph" w:styleId="Logo">
    <w:name w:val="Logo"/>
    <w:basedOn w:val="Normal"/>
    <w:qFormat/>
    <w:pPr>
      <w:jc w:val="center"/>
    </w:pPr>
    <w:rPr>
      <w:rFonts w:ascii="Garamond" w:hAnsi="Garamond" w:cs="Garamond"/>
      <w:sz w:val="36"/>
    </w:rPr>
  </w:style>
  <w:style w:type="paragraph" w:styleId="TITRE">
    <w:name w:val="TITRE"/>
    <w:basedOn w:val="Normal"/>
    <w:qFormat/>
    <w:pPr>
      <w:spacing w:before="0" w:after="480"/>
      <w:jc w:val="center"/>
    </w:pPr>
    <w:rPr>
      <w:b/>
      <w:caps/>
      <w:lang w:val="fr-CA"/>
    </w:rPr>
  </w:style>
  <w:style w:type="paragraph" w:styleId="Paragraphe1">
    <w:name w:val="Paragraphe 1"/>
    <w:basedOn w:val="Normal"/>
    <w:qFormat/>
    <w:pPr>
      <w:spacing w:before="0" w:after="240"/>
      <w:jc w:val="both"/>
    </w:pPr>
    <w:rPr/>
  </w:style>
  <w:style w:type="paragraph" w:styleId="Paragraphe2">
    <w:name w:val="Paragraphe 2"/>
    <w:basedOn w:val="Normal"/>
    <w:qFormat/>
    <w:pPr>
      <w:spacing w:before="0" w:after="240"/>
      <w:ind w:firstLine="720" w:start="0" w:end="0"/>
      <w:jc w:val="both"/>
    </w:pPr>
    <w:rPr/>
  </w:style>
  <w:style w:type="paragraph" w:styleId="Paragraphe3">
    <w:name w:val="Paragraphe 3"/>
    <w:basedOn w:val="Normal"/>
    <w:qFormat/>
    <w:pPr>
      <w:spacing w:before="0" w:after="240"/>
      <w:ind w:hanging="0" w:start="720" w:end="0"/>
      <w:jc w:val="both"/>
    </w:pPr>
    <w:rPr/>
  </w:style>
  <w:style w:type="paragraph" w:styleId="GRANDTITRE">
    <w:name w:val="GRAND TITRE"/>
    <w:basedOn w:val="Normal"/>
    <w:qFormat/>
    <w:pPr>
      <w:spacing w:before="480" w:after="240"/>
      <w:jc w:val="center"/>
    </w:pPr>
    <w:rPr>
      <w:b/>
      <w:caps/>
      <w:sz w:val="32"/>
    </w:rPr>
  </w:style>
  <w:style w:type="paragraph" w:styleId="Numrodedocument">
    <w:name w:val="Numéro de document"/>
    <w:basedOn w:val="Normal"/>
    <w:qFormat/>
    <w:pPr/>
    <w:rPr>
      <w:sz w:val="16"/>
      <w:lang w:val="fr-CA"/>
    </w:rPr>
  </w:style>
  <w:style w:type="paragraph" w:styleId="Sujet">
    <w:name w:val="Sujet"/>
    <w:basedOn w:val="Normal"/>
    <w:qFormat/>
    <w:pPr>
      <w:spacing w:before="240" w:after="0"/>
    </w:pPr>
    <w:rPr>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general@lapros.qc.ca"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ENG.dot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2000-12-07T13:41:00Z</dcterms:created>
  <dc:creator>ALD</dc:creator>
  <dc:description/>
  <dc:language>en-CA</dc:language>
  <cp:lastModifiedBy>JBT</cp:lastModifiedBy>
  <cp:lastPrinted>2000-12-07T11:27:00Z</cp:lastPrinted>
  <dcterms:modified xsi:type="dcterms:W3CDTF">2000-12-07T13:57:00Z</dcterms:modified>
  <cp:revision>4</cp:revision>
  <dc:subject/>
  <dc:title>Lapointe Rosenstein</dc:title>
</cp:coreProperties>
</file>