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J"/>
        <w:rPr/>
      </w:pPr>
      <w:r>
        <w:rPr/>
      </w:r>
    </w:p>
    <w:p>
      <w:pPr>
        <w:pStyle w:val="BodyTextJ"/>
        <w:jc w:val="center"/>
        <w:rPr>
          <w:b/>
        </w:rPr>
      </w:pPr>
      <w:r>
        <w:rPr>
          <w:b/>
        </w:rPr>
        <w:t>SCHEDULE</w:t>
      </w:r>
    </w:p>
    <w:p>
      <w:pPr>
        <w:pStyle w:val="BodyTextJ"/>
        <w:jc w:val="center"/>
        <w:rPr>
          <w:b/>
        </w:rPr>
      </w:pPr>
      <w:r>
        <w:rPr>
          <w:b/>
        </w:rPr>
        <w:t>to the</w:t>
      </w:r>
    </w:p>
    <w:p>
      <w:pPr>
        <w:pStyle w:val="BodyTextJ"/>
        <w:jc w:val="center"/>
        <w:rPr>
          <w:b/>
        </w:rPr>
      </w:pPr>
      <w:r>
        <w:rPr>
          <w:b/>
        </w:rPr>
        <w:t>ISDA MASTER AGREEMENT</w:t>
      </w:r>
    </w:p>
    <w:p>
      <w:pPr>
        <w:pStyle w:val="BodyTextJ"/>
        <w:spacing w:before="0" w:after="0"/>
        <w:jc w:val="center"/>
        <w:rPr>
          <w:b/>
        </w:rPr>
      </w:pPr>
      <w:r>
        <w:rPr>
          <w:b/>
        </w:rPr>
        <w:t>dated as of _______</w:t>
      </w:r>
    </w:p>
    <w:p>
      <w:pPr>
        <w:pStyle w:val="BodyTextJ"/>
        <w:jc w:val="center"/>
        <w:rPr>
          <w:b/>
        </w:rPr>
      </w:pPr>
      <w:r>
        <w:rPr>
          <w:b/>
        </w:rPr>
        <w:t>between</w:t>
      </w:r>
    </w:p>
    <w:p>
      <w:pPr>
        <w:pStyle w:val="BodyTextJ"/>
        <w:spacing w:before="0" w:after="0"/>
        <w:jc w:val="center"/>
        <w:rPr>
          <w:b/>
        </w:rPr>
      </w:pPr>
      <w:r>
        <w:rPr>
          <w:b/>
        </w:rPr>
        <w:t>___________________ (“Party A”),</w:t>
      </w:r>
    </w:p>
    <w:p>
      <w:pPr>
        <w:pStyle w:val="BodyTextJ"/>
        <w:spacing w:before="0" w:after="0"/>
        <w:jc w:val="center"/>
        <w:rPr>
          <w:b/>
        </w:rPr>
      </w:pPr>
      <w:r>
        <w:rPr>
          <w:b/>
        </w:rPr>
        <w:t>a corporation organized and operating under</w:t>
      </w:r>
    </w:p>
    <w:p>
      <w:pPr>
        <w:pStyle w:val="BodyTextJ"/>
        <w:jc w:val="center"/>
        <w:rPr>
          <w:b/>
        </w:rPr>
      </w:pPr>
      <w:r>
        <w:rPr>
          <w:b/>
        </w:rPr>
        <w:t>the laws of the State of Delaware</w:t>
      </w:r>
    </w:p>
    <w:p>
      <w:pPr>
        <w:pStyle w:val="BodyTextJ"/>
        <w:jc w:val="center"/>
        <w:rPr>
          <w:b/>
        </w:rPr>
      </w:pPr>
      <w:r>
        <w:rPr>
          <w:b/>
        </w:rPr>
        <w:t>and</w:t>
      </w:r>
    </w:p>
    <w:p>
      <w:pPr>
        <w:pStyle w:val="BodyTextJ"/>
        <w:spacing w:before="0" w:after="0"/>
        <w:jc w:val="center"/>
        <w:rPr>
          <w:b/>
        </w:rPr>
      </w:pPr>
      <w:r>
        <w:rPr>
          <w:b/>
        </w:rPr>
        <w:t>SACRAMENTO MUNICIPAL UTILITY DISTRICT (“Party B”),</w:t>
      </w:r>
    </w:p>
    <w:p>
      <w:pPr>
        <w:pStyle w:val="BodyTextJ"/>
        <w:spacing w:before="0" w:after="0"/>
        <w:jc w:val="center"/>
        <w:rPr>
          <w:b/>
        </w:rPr>
      </w:pPr>
      <w:r>
        <w:rPr>
          <w:b/>
        </w:rPr>
        <w:t>a political subdivision</w:t>
      </w:r>
    </w:p>
    <w:p>
      <w:pPr>
        <w:pStyle w:val="BodyTextJ"/>
        <w:spacing w:before="0" w:after="0"/>
        <w:jc w:val="center"/>
        <w:rPr>
          <w:b/>
        </w:rPr>
      </w:pPr>
      <w:r>
        <w:rPr>
          <w:b/>
        </w:rPr>
        <w:t>of the State of California</w:t>
      </w:r>
    </w:p>
    <w:p>
      <w:pPr>
        <w:pStyle w:val="BodyTextJ"/>
        <w:jc w:val="center"/>
        <w:rPr>
          <w:b/>
        </w:rPr>
      </w:pPr>
      <w:r>
        <w:rPr>
          <w:b/>
        </w:rPr>
      </w:r>
    </w:p>
    <w:p>
      <w:pPr>
        <w:pStyle w:val="BodyTextJ"/>
        <w:rPr/>
      </w:pPr>
      <w:r>
        <w:rPr/>
      </w:r>
    </w:p>
    <w:p>
      <w:pPr>
        <w:pStyle w:val="BodyTextJ"/>
        <w:rPr/>
      </w:pPr>
      <w:r>
        <w:rPr>
          <w:b/>
        </w:rPr>
        <w:t>Part 1. Termination Provisions</w:t>
      </w:r>
      <w:r>
        <w:rPr/>
        <w:t>.</w:t>
      </w:r>
    </w:p>
    <w:p>
      <w:pPr>
        <w:pStyle w:val="BodyTextJ"/>
        <w:rPr/>
      </w:pPr>
      <w:r>
        <w:rPr/>
        <w:t>(a)</w:t>
        <w:tab/>
        <w:t>“</w:t>
      </w:r>
      <w:r>
        <w:rPr>
          <w:b/>
          <w:i/>
        </w:rPr>
        <w:t>Specified Entity</w:t>
      </w:r>
      <w:r>
        <w:rPr/>
        <w:t>” means in relation to Party A for the purpose of:</w:t>
      </w:r>
    </w:p>
    <w:p>
      <w:pPr>
        <w:pStyle w:val="BodyText5J"/>
        <w:spacing w:before="0" w:after="0"/>
        <w:rPr/>
      </w:pPr>
      <w:r>
        <w:rPr/>
        <w:t>Section 5(a)(v) (Default under Specified Transaction), Not Applicable.</w:t>
      </w:r>
    </w:p>
    <w:p>
      <w:pPr>
        <w:pStyle w:val="BodyText5J"/>
        <w:spacing w:before="0" w:after="0"/>
        <w:rPr/>
      </w:pPr>
      <w:r>
        <w:rPr/>
        <w:t>Section 5(a)(vi) (Cross Default), Not Applicable.</w:t>
      </w:r>
    </w:p>
    <w:p>
      <w:pPr>
        <w:pStyle w:val="BodyText5J"/>
        <w:spacing w:before="0" w:after="0"/>
        <w:rPr/>
      </w:pPr>
      <w:r>
        <w:rPr/>
        <w:t>Section 5(a)(vii) (Bankruptcy), Not Applicable.</w:t>
      </w:r>
    </w:p>
    <w:p>
      <w:pPr>
        <w:pStyle w:val="BodyText5J"/>
        <w:spacing w:before="0" w:after="0"/>
        <w:rPr/>
      </w:pPr>
      <w:r>
        <w:rPr/>
        <w:t>Section 5(b)(ii)(Credit Event Upon Merger), Not Applicable.</w:t>
      </w:r>
    </w:p>
    <w:p>
      <w:pPr>
        <w:pStyle w:val="BodyText5J"/>
        <w:spacing w:before="0" w:after="0"/>
        <w:rPr/>
      </w:pPr>
      <w:r>
        <w:rPr/>
      </w:r>
    </w:p>
    <w:p>
      <w:pPr>
        <w:pStyle w:val="BodyText5J"/>
        <w:rPr/>
      </w:pPr>
      <w:r>
        <w:rPr/>
        <w:t>and in relation to Party B for the purpose of:</w:t>
      </w:r>
    </w:p>
    <w:p>
      <w:pPr>
        <w:pStyle w:val="BodyText5J"/>
        <w:spacing w:before="0" w:after="0"/>
        <w:rPr/>
      </w:pPr>
      <w:r>
        <w:rPr/>
        <w:t>Section 5(a)(v) (Default under Specified Transaction), Not applicable.</w:t>
      </w:r>
    </w:p>
    <w:p>
      <w:pPr>
        <w:pStyle w:val="BodyText5J"/>
        <w:spacing w:before="0" w:after="0"/>
        <w:rPr/>
      </w:pPr>
      <w:r>
        <w:rPr/>
        <w:t>Section 5(a)(vi) (Cross Default), Not applicable.</w:t>
      </w:r>
    </w:p>
    <w:p>
      <w:pPr>
        <w:pStyle w:val="BodyText5J"/>
        <w:spacing w:before="0" w:after="0"/>
        <w:rPr/>
      </w:pPr>
      <w:r>
        <w:rPr/>
        <w:t>Section 5(a)(vii) (Bankruptcy), Not applicable.</w:t>
      </w:r>
    </w:p>
    <w:p>
      <w:pPr>
        <w:pStyle w:val="BodyText5J"/>
        <w:spacing w:before="0" w:after="0"/>
        <w:rPr/>
      </w:pPr>
      <w:r>
        <w:rPr/>
        <w:t>Section 5(b)(ii)(Credit Event Upon Merger), Not applicable.</w:t>
      </w:r>
    </w:p>
    <w:p>
      <w:pPr>
        <w:pStyle w:val="BodyText5J"/>
        <w:spacing w:before="0" w:after="0"/>
        <w:rPr/>
      </w:pPr>
      <w:r>
        <w:rPr/>
      </w:r>
    </w:p>
    <w:p>
      <w:pPr>
        <w:pStyle w:val="BodyTextJ"/>
        <w:rPr/>
      </w:pPr>
      <w:r>
        <w:rPr/>
        <w:t>(b)</w:t>
      </w:r>
      <w:r>
        <w:rPr>
          <w:b/>
          <w:i/>
        </w:rPr>
        <w:tab/>
        <w:t>“Specified Transaction”</w:t>
      </w:r>
      <w:r>
        <w:rPr/>
        <w:t xml:space="preserve"> will have the meaning specified in Section 12 of this Agreement, except that such term is amended on line 8 after the words “currency option” by adding a comma and the words “agreement for the purchase, sale or transfer of any commodity or any other commodity trading transaction.”  For this purpose, “commodity” means any tangible or intangible commodity of any type or description (including, without limitation, electric energy and/or capacity, petroleum and natural gas, and the products or by-products thereof).</w:t>
      </w:r>
    </w:p>
    <w:p>
      <w:pPr>
        <w:pStyle w:val="BodyTextJ"/>
        <w:rPr/>
      </w:pPr>
      <w:r>
        <w:rPr/>
      </w:r>
    </w:p>
    <w:p>
      <w:pPr>
        <w:pStyle w:val="BodyTextJ"/>
        <w:rPr/>
      </w:pPr>
      <w:r>
        <w:rPr/>
        <w:t>(c)</w:t>
        <w:tab/>
        <w:t xml:space="preserve">The </w:t>
      </w:r>
      <w:r>
        <w:rPr>
          <w:b/>
          <w:i/>
        </w:rPr>
        <w:t>“Cross Default”</w:t>
      </w:r>
      <w:r>
        <w:rPr/>
        <w:t xml:space="preserve"> provisions of Section 5(a)(vi) will apply to Party A and to Party B.</w:t>
      </w:r>
    </w:p>
    <w:p>
      <w:pPr>
        <w:pStyle w:val="BodyText5J"/>
        <w:rPr/>
      </w:pPr>
      <w:r>
        <w:rPr>
          <w:b/>
          <w:i/>
        </w:rPr>
        <w:t>“</w:t>
      </w:r>
      <w:r>
        <w:rPr>
          <w:b/>
          <w:i/>
        </w:rPr>
        <w:t>Specified Indebtedness”</w:t>
      </w:r>
      <w:r>
        <w:rPr/>
        <w:t xml:space="preserve"> will have the meaning specified in Section 12 of this Agreement.</w:t>
      </w:r>
    </w:p>
    <w:p>
      <w:pPr>
        <w:pStyle w:val="BodyText5J"/>
        <w:rPr/>
      </w:pPr>
      <w:r>
        <w:rPr>
          <w:b/>
          <w:i/>
        </w:rPr>
        <w:t>“</w:t>
      </w:r>
      <w:r>
        <w:rPr>
          <w:b/>
          <w:i/>
        </w:rPr>
        <w:t>Threshold Amount”</w:t>
      </w:r>
      <w:r>
        <w:rPr/>
        <w:t xml:space="preserve"> means $35,000,000.</w:t>
      </w:r>
    </w:p>
    <w:p>
      <w:pPr>
        <w:pStyle w:val="BodyTextJ"/>
        <w:rPr/>
      </w:pPr>
      <w:r>
        <w:rPr/>
        <w:t>(d)</w:t>
        <w:tab/>
        <w:t xml:space="preserve">The </w:t>
      </w:r>
      <w:r>
        <w:rPr>
          <w:b/>
          <w:i/>
        </w:rPr>
        <w:t>“Credit Event Upon Merger”</w:t>
      </w:r>
      <w:r>
        <w:rPr/>
        <w:t xml:space="preserve"> provisions of Section 5(b)(ii) will apply to Party A and to Party B.</w:t>
      </w:r>
    </w:p>
    <w:p>
      <w:pPr>
        <w:pStyle w:val="BodyTextJ"/>
        <w:rPr/>
      </w:pPr>
      <w:r>
        <w:rPr/>
        <w:t>(e)</w:t>
        <w:tab/>
        <w:t xml:space="preserve">The </w:t>
      </w:r>
      <w:r>
        <w:rPr>
          <w:b/>
          <w:i/>
        </w:rPr>
        <w:t>“Automatic Early Termination”</w:t>
      </w:r>
      <w:r>
        <w:rPr/>
        <w:t xml:space="preserve"> provision of Section 6(a) will not apply to Party A or to Party B.</w:t>
      </w:r>
    </w:p>
    <w:p>
      <w:pPr>
        <w:pStyle w:val="BodyTextJ"/>
        <w:rPr/>
      </w:pPr>
      <w:r>
        <w:rPr/>
        <w:t>(f)</w:t>
      </w:r>
      <w:r>
        <w:rPr>
          <w:b/>
          <w:i/>
        </w:rPr>
        <w:tab/>
        <w:t>Payments on Early Termination.</w:t>
      </w:r>
      <w:r>
        <w:rPr/>
        <w:t xml:space="preserve">  For the purpose of Section 6(e) of this Agreement:</w:t>
      </w:r>
    </w:p>
    <w:p>
      <w:pPr>
        <w:pStyle w:val="BodyText1J"/>
        <w:rPr/>
      </w:pPr>
      <w:r>
        <w:rPr/>
        <w:t>(i)</w:t>
        <w:tab/>
        <w:t>Market Quotation will apply.</w:t>
      </w:r>
    </w:p>
    <w:p>
      <w:pPr>
        <w:pStyle w:val="BodyText1J"/>
        <w:rPr/>
      </w:pPr>
      <w:r>
        <w:rPr/>
        <w:t>(ii)</w:t>
        <w:tab/>
        <w:t>The Second Method will apply.</w:t>
      </w:r>
    </w:p>
    <w:p>
      <w:pPr>
        <w:pStyle w:val="BodyTextJ"/>
        <w:rPr/>
      </w:pPr>
      <w:r>
        <w:rPr/>
        <w:t>(g)</w:t>
      </w:r>
      <w:r>
        <w:rPr>
          <w:b/>
          <w:i/>
        </w:rPr>
        <w:tab/>
        <w:t>Additional Termination Event</w:t>
      </w:r>
      <w:r>
        <w:rPr/>
        <w:t xml:space="preserve"> will apply.  The following shall constitute Additional Termination Events:</w:t>
      </w:r>
    </w:p>
    <w:p>
      <w:pPr>
        <w:pStyle w:val="BodyText5J"/>
        <w:rPr/>
      </w:pPr>
      <w:r>
        <w:rPr/>
        <w:t>If any two rating classifications assigned to any outstanding long-term unsecured, unsubordinated debt of Party B or of Party A (or any Credit Support Provider of Party A) is BBB- or lower by Standard &amp; Poor’s Corporation (or any successor) (“S&amp;P”), Baa (in the case of Party B) or Baa3 (in the case of Party A or any Credit Support Provider of Party A) or lower by Moody’s Investors Service (or any successor) (“Moody’s”), or BBB- by Fitch Investor’s Service (or any successor) (“Fitch”) (or any two of such ratings are withdrawn or suspended), then a “Ratings Event” shall be deemed to have occurred with respect to such Party.  The party for which the Ratings Event is deemed to have occurred (“X”) shall promptly notify the other party of the occurrence of such Ratings Event.</w:t>
      </w:r>
    </w:p>
    <w:p>
      <w:pPr>
        <w:pStyle w:val="BodyText5J"/>
        <w:rPr/>
      </w:pPr>
      <w:r>
        <w:rPr/>
        <w:t>A Ratings Event shall be deemed an Additional Termination Event for which all Transactions under this Agreement shall be Affected Transactions.  For the purposes of Section 6(b) X shall be the sole Affected Party and, for the purposes of Section 6(e), both parties shall be Affected Parties.</w:t>
      </w:r>
    </w:p>
    <w:p>
      <w:pPr>
        <w:pStyle w:val="BodyTextJ"/>
        <w:rPr/>
      </w:pPr>
      <w:r>
        <w:rPr/>
        <w:t>(h)</w:t>
      </w:r>
      <w:r>
        <w:rPr>
          <w:b/>
          <w:i/>
        </w:rPr>
        <w:tab/>
        <w:t>Events of Default.</w:t>
      </w:r>
    </w:p>
    <w:p>
      <w:pPr>
        <w:pStyle w:val="BodyText5J"/>
        <w:rPr/>
      </w:pPr>
      <w:r>
        <w:rPr/>
        <w:t>(i)</w:t>
      </w:r>
      <w:r>
        <w:rPr>
          <w:b/>
          <w:i/>
        </w:rPr>
        <w:tab/>
        <w:t>Cross Default.</w:t>
      </w:r>
      <w:r>
        <w:rPr/>
        <w:t xml:space="preserve">  Section 5(a)(vi) of this Agreement is hereby amended to read in its entirety as follows:</w:t>
      </w:r>
    </w:p>
    <w:p>
      <w:pPr>
        <w:pStyle w:val="BodyText5J"/>
        <w:rPr/>
      </w:pPr>
      <w:r>
        <w:rPr/>
        <w:t>“</w:t>
      </w:r>
      <w:r>
        <w:rPr/>
        <w:t xml:space="preserve">(vi) </w:t>
      </w:r>
      <w:r>
        <w:rPr>
          <w:b/>
          <w:i/>
        </w:rPr>
        <w:t>Cross Default</w:t>
      </w:r>
      <w:r>
        <w:rPr/>
        <w:t>.  If “Cross Default” is specified in the Schedule as applying to the party, the occurrence or existence of (1) a default, event of default or other similar condition or event (however described) in respect of such party, any Credit Support Provider of such party or any applicable Specified Entity of such party under one or more agreements or instruments relating to Specified Indebtedness of any of them (individually or collectively) in an aggregate amount of not less than the applicable Threshold Amount (as specified in the Schedule) which has resulted in such Specified Indebtedness becoming due and payable under such agreements or instruments, before it would otherwise have been due and payable or (2) a default by such party, such Credit Support Provider or such Specified Entity (individually or collectively) in making one or more payments on the due date thereof in an aggregate amount of not less than the applicable Threshold Amount under such agreements or instruments (after giving effect to any applicable notice requirement or grace period);”</w:t>
      </w:r>
    </w:p>
    <w:p>
      <w:pPr>
        <w:pStyle w:val="BodyText5J"/>
        <w:rPr/>
      </w:pPr>
      <w:r>
        <w:rPr/>
        <w:t>(ii)</w:t>
      </w:r>
      <w:r>
        <w:rPr>
          <w:b/>
          <w:i/>
        </w:rPr>
        <w:tab/>
        <w:t>Merger Without Assumption.</w:t>
      </w:r>
      <w:r>
        <w:rPr/>
        <w:t xml:space="preserve">  Section 5(a)(viii) of this Agreement is hereby amended to read in its entirety as follows:</w:t>
      </w:r>
    </w:p>
    <w:p>
      <w:pPr>
        <w:pStyle w:val="BodyText5J"/>
        <w:rPr/>
      </w:pPr>
      <w:r>
        <w:rPr/>
        <w:t>“</w:t>
      </w:r>
      <w:r>
        <w:rPr/>
        <w:t xml:space="preserve">(viii) </w:t>
      </w:r>
      <w:r>
        <w:rPr>
          <w:b/>
          <w:i/>
        </w:rPr>
        <w:t>Merger Without Assumption</w:t>
      </w:r>
      <w:r>
        <w:rPr/>
        <w:t>.  The party or any Credit Support Provider of such party consolidates or amalgamates with, or merges with or into, or transfers all or substantially all its assets to, another entity (or, without limiting the foregoing, if such party is a Government Entity, an entity such as an organization, board, commission, authority, agency or body succeeds to the principal functions of, or powers and duties granted to, such party or any Credit Support Provider of such party) and, at the time of such consolidation, amalgamation, merger, transfer or succession:</w:t>
      </w:r>
    </w:p>
    <w:p>
      <w:pPr>
        <w:pStyle w:val="BodyText1J"/>
        <w:rPr/>
      </w:pPr>
      <w:r>
        <w:rPr/>
        <w:t>(1)</w:t>
        <w:tab/>
        <w:t>the resulting, surviving, transferee or successor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BodyText1J"/>
        <w:rPr/>
      </w:pPr>
      <w:r>
        <w:rPr/>
        <w:t>(2)</w:t>
        <w:tab/>
        <w:t>the benefits of any Credit Support Document fail to extend (without the consent of the other party) to the performance by such resulting, surviving, transferee or successor entity of its obligations under this Agreement.”</w:t>
      </w:r>
    </w:p>
    <w:p>
      <w:pPr>
        <w:pStyle w:val="BodyTextJ"/>
        <w:rPr/>
      </w:pPr>
      <w:r>
        <w:rPr/>
        <w:t>(i)</w:t>
      </w:r>
      <w:r>
        <w:rPr>
          <w:b/>
          <w:i/>
        </w:rPr>
        <w:tab/>
        <w:t>Termination Events.</w:t>
      </w:r>
      <w:r>
        <w:rPr/>
        <w:t xml:space="preserve">  Section 5(b)(ii) of this Agreement is hereby amended to read in its entirety as follows:</w:t>
      </w:r>
    </w:p>
    <w:p>
      <w:pPr>
        <w:pStyle w:val="BodyText1J"/>
        <w:rPr/>
      </w:pPr>
      <w:r>
        <w:rPr/>
        <w:t>“</w:t>
      </w:r>
      <w:r>
        <w:rPr/>
        <w:t xml:space="preserve">(ii) </w:t>
      </w:r>
      <w:r>
        <w:rPr>
          <w:b/>
          <w:i/>
        </w:rPr>
        <w:t>Credit Event Upon Merger</w:t>
      </w:r>
      <w:r>
        <w:rPr/>
        <w:t>.  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(or, without limiting the foregoing, if X is a Government Entity, an entity such as an organization, board, commission, authority, agency or body succeeds to the principal functions of, or powers and duties granted to, X, any Credit Support Provider of X or any Specified Entity of X) and such action does not constitute an event described in Section 5(a)(viii) but the creditworthiness of the resulting, surviving, transferee or successor entity is materially weaker than that of X, such Credit Support Provider or such Specified Entity, as the case may be, immediately prior to such action (and, in such event, X or its successor or transferee, as appropriate, will be the Affected Party); or”.</w:t>
      </w:r>
    </w:p>
    <w:p>
      <w:pPr>
        <w:pStyle w:val="BodyTextJ"/>
        <w:rPr/>
      </w:pPr>
      <w:r>
        <w:rPr/>
        <w:t>(j)</w:t>
      </w:r>
      <w:r>
        <w:rPr>
          <w:b/>
          <w:i/>
        </w:rPr>
        <w:tab/>
        <w:t>Early Termination.</w:t>
      </w:r>
    </w:p>
    <w:p>
      <w:pPr>
        <w:pStyle w:val="BodyText5J"/>
        <w:rPr/>
      </w:pPr>
      <w:r>
        <w:rPr/>
        <w:t>(i)</w:t>
        <w:tab/>
        <w:t>Section 6 is hereby amended by adding the following as a new subsection (f):</w:t>
      </w:r>
    </w:p>
    <w:p>
      <w:pPr>
        <w:pStyle w:val="BodyText5J"/>
        <w:rPr/>
      </w:pPr>
      <w:r>
        <w:rPr/>
        <w:t>“</w:t>
      </w:r>
      <w:r>
        <w:rPr/>
        <w:t xml:space="preserve">(f) </w:t>
      </w:r>
      <w:r>
        <w:rPr>
          <w:b/>
        </w:rPr>
        <w:t>Set-off</w:t>
      </w:r>
      <w:r>
        <w:rPr/>
        <w:t>.  If the Defaulting Party or the Affected Party would be owed amounts pursuant to this Agreement in the event of the designation of an Early Termination Date as a result of an Event of Default or a Termination Event for which there is one Affected Party, the party (“X”) which is the Non-defaulting Party or which is not the Affected Party may, at its option and without prior notice to the Defaulting Party or the Affected Party, set off, appropriate and apply the Other Agreement Amounts (hereinafter defined).  The “Other Agreement Amounts” shall mean amount(s) due and payable as of the date the right of set-off is exercised (and shall not include amounts which are contingent or are unmatured) by the party (“Y”) which is the Defaulting Party or Affected Party to X (and, if X elects, payable to any Affiliates of X), irrespective of the currency, place of payment or booking office of the obligation, under any other agreement(s) between X (or any Affiliate of X) and Y (acting through any office or branch) or instrument(s) or undertaking(s) issued or executed by one party to, or in favor of, the other party.  The obligations of X to make any payment to Y hereunder shall be deemed satisfied and discharged to the extent of any such set-off, and the Other Agreement Amounts will be deemed satisfied and discharged to the extent they are so set-off.  X will give notice to Y of any set-off effected under this Section 6(f).  This Section 6(f) shall be without prejudice and in addition to any right of set-off, lien or other right or remedy to which X is at any time otherwise entitled, whether at law or in equity, by contract or otherwise.</w:t>
      </w:r>
    </w:p>
    <w:p>
      <w:pPr>
        <w:pStyle w:val="BodyText5J"/>
        <w:rPr/>
      </w:pPr>
      <w:r>
        <w:rPr/>
        <w:t>(ii)  Section 6 is hereby amended by adding the following as a new subsection (g):</w:t>
      </w:r>
    </w:p>
    <w:p>
      <w:pPr>
        <w:pStyle w:val="BodyText5J"/>
        <w:rPr/>
      </w:pPr>
      <w:r>
        <w:rPr/>
        <w:t>“</w:t>
      </w:r>
      <w:r>
        <w:rPr/>
        <w:t xml:space="preserve">(g) </w:t>
      </w:r>
      <w:r>
        <w:rPr>
          <w:b/>
        </w:rPr>
        <w:t>Optional Termination by Party B</w:t>
      </w:r>
      <w:r>
        <w:rPr/>
        <w:t>.  Party B may, upon thirty (30) days written notice to Party A, terminate any Transactions under this Agreement by designating to Party A the termination date for such Transactions.  In the event Party B exercises its right of optional termination hereunder, the provisions of Section 6(e)(i)(3) shall apply to such Transaction and a Settlement Amount shall be calculated based upon the average of three quotations from Reference Market-makers (one of which Reference Market-makers shall be selected by Party A, one of which shall be selected by Party B and one of which shall be mutually agreed upon by Party A and Party B).  Settlement Amount calculated pursuant to this subsection (g) shall be payable as provided in Section 6(e)(i)(3) assuming that Party B is the Defaulting Party and that Party A is the Non-defaulting Party.”</w:t>
      </w:r>
    </w:p>
    <w:p>
      <w:pPr>
        <w:pStyle w:val="BodyTextJ"/>
        <w:rPr>
          <w:b/>
        </w:rPr>
      </w:pPr>
      <w:r>
        <w:rPr>
          <w:b/>
        </w:rPr>
        <w:t>Part 2. Agreement to Deliver Documents.</w:t>
      </w:r>
    </w:p>
    <w:p>
      <w:pPr>
        <w:pStyle w:val="BodyTextJ"/>
        <w:rPr/>
      </w:pPr>
      <w:r>
        <w:rPr/>
        <w:t>For the purpose of Section 4(a) of this Agreement, each party agrees to deliver the following documents, as applicable:</w:t>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vAlign w:val="bottom"/>
          </w:tcPr>
          <w:p>
            <w:pPr>
              <w:pStyle w:val="TableTitle"/>
              <w:keepNext w:val="true"/>
              <w:pBdr>
                <w:bottom w:val="single" w:sz="8" w:space="1" w:color="000000"/>
              </w:pBdr>
              <w:spacing w:before="120" w:after="0"/>
              <w:jc w:val="center"/>
              <w:rPr/>
            </w:pPr>
            <w:r>
              <w:rPr/>
              <w:t>PARTY</w:t>
              <w:br/>
              <w:t>REQUIRED</w:t>
              <w:br/>
              <w:t>TO DELIVER</w:t>
            </w:r>
          </w:p>
        </w:tc>
        <w:tc>
          <w:tcPr>
            <w:tcW w:w="2394" w:type="dxa"/>
            <w:tcBorders/>
            <w:vAlign w:val="bottom"/>
          </w:tcPr>
          <w:p>
            <w:pPr>
              <w:pStyle w:val="TableTitle"/>
              <w:keepNext w:val="true"/>
              <w:pBdr>
                <w:bottom w:val="single" w:sz="8" w:space="1" w:color="000000"/>
              </w:pBdr>
              <w:spacing w:before="120" w:after="0"/>
              <w:jc w:val="center"/>
              <w:rPr/>
            </w:pPr>
            <w:r>
              <w:rPr/>
              <w:t>FORM/DOCUMENT/CERTIFICATE</w:t>
            </w:r>
          </w:p>
        </w:tc>
        <w:tc>
          <w:tcPr>
            <w:tcW w:w="2394" w:type="dxa"/>
            <w:tcBorders/>
            <w:vAlign w:val="bottom"/>
          </w:tcPr>
          <w:p>
            <w:pPr>
              <w:pStyle w:val="TableTitle"/>
              <w:keepNext w:val="true"/>
              <w:pBdr>
                <w:bottom w:val="single" w:sz="8" w:space="1" w:color="000000"/>
              </w:pBdr>
              <w:spacing w:before="120" w:after="0"/>
              <w:jc w:val="center"/>
              <w:rPr/>
            </w:pPr>
            <w:r>
              <w:rPr/>
              <w:t>DATE BY</w:t>
              <w:br/>
              <w:t>WHICH TO BE</w:t>
              <w:br/>
              <w:t>DELIVERED</w:t>
            </w:r>
          </w:p>
        </w:tc>
        <w:tc>
          <w:tcPr>
            <w:tcW w:w="2394" w:type="dxa"/>
            <w:tcBorders/>
            <w:vAlign w:val="bottom"/>
          </w:tcPr>
          <w:p>
            <w:pPr>
              <w:pStyle w:val="TableTitle"/>
              <w:keepNext w:val="true"/>
              <w:pBdr>
                <w:bottom w:val="single" w:sz="8" w:space="1" w:color="000000"/>
              </w:pBdr>
              <w:spacing w:before="120" w:after="0"/>
              <w:jc w:val="center"/>
              <w:rPr/>
            </w:pPr>
            <w:r>
              <w:rPr/>
              <w:t>COVERED</w:t>
              <w:br/>
              <w:t>BY</w:t>
              <w:br/>
              <w:t>SECTION</w:t>
              <w:br/>
              <w:t>3(d)</w:t>
            </w:r>
          </w:p>
        </w:tc>
      </w:tr>
      <w:tr>
        <w:trPr/>
        <w:tc>
          <w:tcPr>
            <w:tcW w:w="2394" w:type="dxa"/>
            <w:tcBorders/>
          </w:tcPr>
          <w:p>
            <w:pPr>
              <w:pStyle w:val="TableText"/>
              <w:spacing w:before="120" w:after="0"/>
              <w:rPr/>
            </w:pPr>
            <w:r>
              <w:rPr/>
              <w:t>Party A and Party B</w:t>
            </w:r>
          </w:p>
        </w:tc>
        <w:tc>
          <w:tcPr>
            <w:tcW w:w="2394" w:type="dxa"/>
            <w:tcBorders/>
          </w:tcPr>
          <w:p>
            <w:pPr>
              <w:pStyle w:val="TableText"/>
              <w:spacing w:before="120" w:after="0"/>
              <w:rPr/>
            </w:pPr>
            <w:r>
              <w:rPr/>
              <w:t>Certified copies of all documents evidencing necessary corporate and other authorizations and approvals with respect to the execution, delivery and performance by the party and any Credit Support Provider of this Agreement, any Credit Support Document and any Confirmation, including, where applicable, certified copies of the resolutions of its Board of Directors authorizing the execution and delivery of this Agreement, the relevant Credit Support Document or any Confirmation.</w:t>
            </w:r>
          </w:p>
        </w:tc>
        <w:tc>
          <w:tcPr>
            <w:tcW w:w="2394" w:type="dxa"/>
            <w:tcBorders/>
          </w:tcPr>
          <w:p>
            <w:pPr>
              <w:pStyle w:val="TableText"/>
              <w:spacing w:before="120" w:after="0"/>
              <w:rPr/>
            </w:pPr>
            <w:r>
              <w:rPr/>
              <w:t>Upon execution of this Agreement and promptly at the request of the other party upon execution of a Confirmation</w:t>
            </w:r>
          </w:p>
        </w:tc>
        <w:tc>
          <w:tcPr>
            <w:tcW w:w="2394" w:type="dxa"/>
            <w:tcBorders/>
          </w:tcPr>
          <w:p>
            <w:pPr>
              <w:pStyle w:val="TableText"/>
              <w:spacing w:before="120" w:after="0"/>
              <w:rPr/>
            </w:pPr>
            <w:r>
              <w:rPr/>
              <w:t>Yes</w:t>
            </w:r>
          </w:p>
        </w:tc>
      </w:tr>
      <w:tr>
        <w:trPr/>
        <w:tc>
          <w:tcPr>
            <w:tcW w:w="2394" w:type="dxa"/>
            <w:tcBorders/>
          </w:tcPr>
          <w:p>
            <w:pPr>
              <w:pStyle w:val="TableText"/>
              <w:spacing w:before="120" w:after="0"/>
              <w:rPr/>
            </w:pPr>
            <w:r>
              <w:rPr/>
              <w:t>Party A and Party B</w:t>
            </w:r>
          </w:p>
        </w:tc>
        <w:tc>
          <w:tcPr>
            <w:tcW w:w="2394" w:type="dxa"/>
            <w:tcBorders/>
          </w:tcPr>
          <w:p>
            <w:pPr>
              <w:pStyle w:val="TableText"/>
              <w:spacing w:before="120" w:after="0"/>
              <w:rPr/>
            </w:pPr>
            <w:r>
              <w:rPr/>
              <w:t>A certificate of an authorized officer of the party and any Credit Support Provider as to the incumbency and authority of the officers of the party and any Credit Support Provider signing this Agreement, any Credit Support Document or any Confirmation.</w:t>
            </w:r>
          </w:p>
        </w:tc>
        <w:tc>
          <w:tcPr>
            <w:tcW w:w="2394" w:type="dxa"/>
            <w:tcBorders/>
          </w:tcPr>
          <w:p>
            <w:pPr>
              <w:pStyle w:val="TableText"/>
              <w:spacing w:before="120" w:after="0"/>
              <w:rPr/>
            </w:pPr>
            <w:r>
              <w:rPr/>
              <w:t>Upon execution of this Agreement and promptly at the request of the other party upon execution of a Confirmation</w:t>
            </w:r>
          </w:p>
        </w:tc>
        <w:tc>
          <w:tcPr>
            <w:tcW w:w="2394" w:type="dxa"/>
            <w:tcBorders/>
          </w:tcPr>
          <w:p>
            <w:pPr>
              <w:pStyle w:val="TableText"/>
              <w:spacing w:before="120" w:after="0"/>
              <w:rPr/>
            </w:pPr>
            <w:r>
              <w:rPr/>
              <w:t>Yes</w:t>
            </w:r>
          </w:p>
        </w:tc>
      </w:tr>
      <w:tr>
        <w:trPr/>
        <w:tc>
          <w:tcPr>
            <w:tcW w:w="2394" w:type="dxa"/>
            <w:tcBorders/>
          </w:tcPr>
          <w:p>
            <w:pPr>
              <w:pStyle w:val="TableText"/>
              <w:spacing w:before="120" w:after="0"/>
              <w:rPr/>
            </w:pPr>
            <w:r>
              <w:rPr/>
              <w:t>[Party A]</w:t>
            </w:r>
          </w:p>
        </w:tc>
        <w:tc>
          <w:tcPr>
            <w:tcW w:w="2394" w:type="dxa"/>
            <w:tcBorders/>
          </w:tcPr>
          <w:p>
            <w:pPr>
              <w:pStyle w:val="TableText"/>
              <w:spacing w:before="120" w:after="0"/>
              <w:rPr/>
            </w:pPr>
            <w:r>
              <w:rPr/>
              <w:t>Guaranty of [_______] in a form acceptable to Party B.</w:t>
            </w:r>
          </w:p>
        </w:tc>
        <w:tc>
          <w:tcPr>
            <w:tcW w:w="2394" w:type="dxa"/>
            <w:tcBorders/>
          </w:tcPr>
          <w:p>
            <w:pPr>
              <w:pStyle w:val="TableText"/>
              <w:spacing w:before="120" w:after="0"/>
              <w:rPr/>
            </w:pPr>
            <w:r>
              <w:rPr/>
              <w:t>As soon as practicable, but no later than upon execution of this Agreement.</w:t>
            </w:r>
          </w:p>
        </w:tc>
        <w:tc>
          <w:tcPr>
            <w:tcW w:w="2394" w:type="dxa"/>
            <w:tcBorders/>
          </w:tcPr>
          <w:p>
            <w:pPr>
              <w:pStyle w:val="TableText"/>
              <w:spacing w:before="120" w:after="0"/>
              <w:rPr/>
            </w:pPr>
            <w:r>
              <w:rPr/>
              <w:t>No</w:t>
            </w:r>
          </w:p>
        </w:tc>
      </w:tr>
      <w:tr>
        <w:trPr/>
        <w:tc>
          <w:tcPr>
            <w:tcW w:w="2394" w:type="dxa"/>
            <w:tcBorders/>
          </w:tcPr>
          <w:p>
            <w:pPr>
              <w:pStyle w:val="TableText"/>
              <w:spacing w:before="120" w:after="0"/>
              <w:rPr/>
            </w:pPr>
            <w:r>
              <w:rPr/>
              <w:t>Party A and Party B</w:t>
            </w:r>
          </w:p>
        </w:tc>
        <w:tc>
          <w:tcPr>
            <w:tcW w:w="2394" w:type="dxa"/>
            <w:tcBorders/>
          </w:tcPr>
          <w:p>
            <w:pPr>
              <w:pStyle w:val="TableText"/>
              <w:spacing w:before="120" w:after="0"/>
              <w:rPr/>
            </w:pPr>
            <w:r>
              <w:rPr/>
              <w:t>With respect to Party A, a copy of the most recent annual report (and each annual report thereafter) [___________], and with respect to Party B, a copy of the most recent audited financial statements (and each audited financial statements thereafter) of Party B, containing in all cases audited consolidated financial statements for each fiscal year during which this Agreement is in effect certified by independent certified public accountants and prepared in accordance with generally accepted accounting principles in the United States or in the country in which such party is organized</w:t>
            </w:r>
          </w:p>
        </w:tc>
        <w:tc>
          <w:tcPr>
            <w:tcW w:w="2394" w:type="dxa"/>
            <w:tcBorders/>
          </w:tcPr>
          <w:p>
            <w:pPr>
              <w:pStyle w:val="TableText"/>
              <w:spacing w:before="120" w:after="0"/>
              <w:rPr/>
            </w:pPr>
            <w:r>
              <w:rPr/>
              <w:t>Promptly after request by the other party</w:t>
            </w:r>
          </w:p>
        </w:tc>
        <w:tc>
          <w:tcPr>
            <w:tcW w:w="2394" w:type="dxa"/>
            <w:tcBorders/>
          </w:tcPr>
          <w:p>
            <w:pPr>
              <w:pStyle w:val="TableText"/>
              <w:spacing w:before="120" w:after="0"/>
              <w:rPr/>
            </w:pPr>
            <w:r>
              <w:rPr/>
              <w:t>Yes</w:t>
            </w:r>
          </w:p>
        </w:tc>
      </w:tr>
      <w:tr>
        <w:trPr/>
        <w:tc>
          <w:tcPr>
            <w:tcW w:w="2394" w:type="dxa"/>
            <w:tcBorders/>
          </w:tcPr>
          <w:p>
            <w:pPr>
              <w:pStyle w:val="TableText"/>
              <w:spacing w:before="120" w:after="0"/>
              <w:rPr/>
            </w:pPr>
            <w:r>
              <w:rPr/>
              <w:t>Party A and Party B</w:t>
            </w:r>
          </w:p>
        </w:tc>
        <w:tc>
          <w:tcPr>
            <w:tcW w:w="2394" w:type="dxa"/>
            <w:tcBorders/>
          </w:tcPr>
          <w:p>
            <w:pPr>
              <w:pStyle w:val="TableText"/>
              <w:spacing w:before="120" w:after="0"/>
              <w:rPr/>
            </w:pPr>
            <w:r>
              <w:rPr/>
              <w:t>With respect to Party A, a copy of the unaudited consolidated financial statements of [___________], and with respect to Party B, a copy of the unaudited consolidated financial statements of Party B, in each case for each fiscal quarter during which this Agreement is in effect prepared in accordance with generally accepted accounting principles in the United States or in the country in which such party is organized.</w:t>
            </w:r>
          </w:p>
        </w:tc>
        <w:tc>
          <w:tcPr>
            <w:tcW w:w="2394" w:type="dxa"/>
            <w:tcBorders/>
          </w:tcPr>
          <w:p>
            <w:pPr>
              <w:pStyle w:val="TableText"/>
              <w:spacing w:before="120" w:after="0"/>
              <w:rPr/>
            </w:pPr>
            <w:r>
              <w:rPr/>
              <w:t>Promptly after request by the other party.</w:t>
            </w:r>
          </w:p>
        </w:tc>
        <w:tc>
          <w:tcPr>
            <w:tcW w:w="2394" w:type="dxa"/>
            <w:tcBorders/>
          </w:tcPr>
          <w:p>
            <w:pPr>
              <w:pStyle w:val="TableText"/>
              <w:spacing w:before="120" w:after="0"/>
              <w:rPr/>
            </w:pPr>
            <w:r>
              <w:rPr/>
              <w:t>Yes.</w:t>
            </w:r>
          </w:p>
        </w:tc>
      </w:tr>
      <w:tr>
        <w:trPr/>
        <w:tc>
          <w:tcPr>
            <w:tcW w:w="2394" w:type="dxa"/>
            <w:tcBorders/>
          </w:tcPr>
          <w:p>
            <w:pPr>
              <w:pStyle w:val="TableText"/>
              <w:spacing w:before="120" w:after="0"/>
              <w:rPr/>
            </w:pPr>
            <w:r>
              <w:rPr/>
              <w:t>Party A and Party B</w:t>
            </w:r>
          </w:p>
        </w:tc>
        <w:tc>
          <w:tcPr>
            <w:tcW w:w="2394" w:type="dxa"/>
            <w:tcBorders/>
          </w:tcPr>
          <w:p>
            <w:pPr>
              <w:pStyle w:val="TableText"/>
              <w:spacing w:before="120" w:after="0"/>
              <w:rPr/>
            </w:pPr>
            <w:r>
              <w:rPr/>
              <w:t>A copy of each regular financial or business reporting document that is (i) distributed or made generally available by, with respect to Party A, [___________], and with respect to Party B, Party B, to its respective shareholders or investors or (ii) filed by, with respect to Party A, [___________], and with respect to Party B, Party B in accordance with the disclosure requirements of any applicable statute, rule, regulation or judicial decree and made available for public inspection.</w:t>
            </w:r>
          </w:p>
        </w:tc>
        <w:tc>
          <w:tcPr>
            <w:tcW w:w="2394" w:type="dxa"/>
            <w:tcBorders/>
          </w:tcPr>
          <w:p>
            <w:pPr>
              <w:pStyle w:val="TableText"/>
              <w:spacing w:before="120" w:after="0"/>
              <w:rPr/>
            </w:pPr>
            <w:r>
              <w:rPr/>
              <w:t>Promptly after request by the other party.</w:t>
            </w:r>
          </w:p>
        </w:tc>
        <w:tc>
          <w:tcPr>
            <w:tcW w:w="2394" w:type="dxa"/>
            <w:tcBorders/>
          </w:tcPr>
          <w:p>
            <w:pPr>
              <w:pStyle w:val="TableText"/>
              <w:spacing w:before="120" w:after="0"/>
              <w:rPr/>
            </w:pPr>
            <w:r>
              <w:rPr/>
              <w:t>Yes</w:t>
            </w:r>
          </w:p>
        </w:tc>
      </w:tr>
      <w:tr>
        <w:trPr/>
        <w:tc>
          <w:tcPr>
            <w:tcW w:w="2394" w:type="dxa"/>
            <w:tcBorders/>
          </w:tcPr>
          <w:p>
            <w:pPr>
              <w:pStyle w:val="TableText"/>
              <w:spacing w:before="120" w:after="0"/>
              <w:rPr/>
            </w:pPr>
            <w:r>
              <w:rPr/>
              <w:t>Party A and Party B</w:t>
            </w:r>
          </w:p>
        </w:tc>
        <w:tc>
          <w:tcPr>
            <w:tcW w:w="2394" w:type="dxa"/>
            <w:tcBorders/>
          </w:tcPr>
          <w:p>
            <w:pPr>
              <w:pStyle w:val="TableText"/>
              <w:spacing w:before="120" w:after="0"/>
              <w:rPr/>
            </w:pPr>
            <w:r>
              <w:rPr/>
              <w:t>An opinion of counsel to such party and any Credit Support Provider for such Party in form acceptable to the other party.</w:t>
            </w:r>
          </w:p>
        </w:tc>
        <w:tc>
          <w:tcPr>
            <w:tcW w:w="2394" w:type="dxa"/>
            <w:tcBorders/>
          </w:tcPr>
          <w:p>
            <w:pPr>
              <w:pStyle w:val="TableText"/>
              <w:spacing w:before="120" w:after="0"/>
              <w:rPr/>
            </w:pPr>
            <w:r>
              <w:rPr/>
              <w:t>Upon execution of this Agreement.</w:t>
            </w:r>
          </w:p>
        </w:tc>
        <w:tc>
          <w:tcPr>
            <w:tcW w:w="2394" w:type="dxa"/>
            <w:tcBorders/>
          </w:tcPr>
          <w:p>
            <w:pPr>
              <w:pStyle w:val="TableText"/>
              <w:spacing w:before="120" w:after="0"/>
              <w:rPr/>
            </w:pPr>
            <w:r>
              <w:rPr/>
              <w:t>No</w:t>
            </w:r>
          </w:p>
        </w:tc>
      </w:tr>
      <w:tr>
        <w:trPr/>
        <w:tc>
          <w:tcPr>
            <w:tcW w:w="2394" w:type="dxa"/>
            <w:tcBorders/>
          </w:tcPr>
          <w:p>
            <w:pPr>
              <w:pStyle w:val="TableEnd"/>
              <w:snapToGrid w:val="false"/>
              <w:spacing w:before="120" w:after="360"/>
              <w:rPr/>
            </w:pPr>
            <w:r>
              <w:rPr/>
            </w:r>
          </w:p>
        </w:tc>
        <w:tc>
          <w:tcPr>
            <w:tcW w:w="2394" w:type="dxa"/>
            <w:tcBorders/>
          </w:tcPr>
          <w:p>
            <w:pPr>
              <w:pStyle w:val="TableEnd"/>
              <w:snapToGrid w:val="false"/>
              <w:spacing w:before="120" w:after="360"/>
              <w:rPr/>
            </w:pPr>
            <w:r>
              <w:rPr/>
            </w:r>
          </w:p>
        </w:tc>
        <w:tc>
          <w:tcPr>
            <w:tcW w:w="2394" w:type="dxa"/>
            <w:tcBorders/>
          </w:tcPr>
          <w:p>
            <w:pPr>
              <w:pStyle w:val="TableEnd"/>
              <w:snapToGrid w:val="false"/>
              <w:spacing w:before="120" w:after="360"/>
              <w:rPr/>
            </w:pPr>
            <w:r>
              <w:rPr/>
            </w:r>
          </w:p>
        </w:tc>
        <w:tc>
          <w:tcPr>
            <w:tcW w:w="2394" w:type="dxa"/>
            <w:tcBorders/>
          </w:tcPr>
          <w:p>
            <w:pPr>
              <w:pStyle w:val="TableEnd"/>
              <w:snapToGrid w:val="false"/>
              <w:spacing w:before="120" w:after="360"/>
              <w:rPr/>
            </w:pPr>
            <w:r>
              <w:rPr/>
            </w:r>
          </w:p>
        </w:tc>
      </w:tr>
    </w:tbl>
    <w:p>
      <w:pPr>
        <w:pStyle w:val="BodyTextJ"/>
        <w:rPr/>
      </w:pPr>
      <w:r>
        <w:rPr/>
      </w:r>
    </w:p>
    <w:p>
      <w:pPr>
        <w:pStyle w:val="BodyTextJ"/>
        <w:rPr>
          <w:b/>
        </w:rPr>
      </w:pPr>
      <w:r>
        <w:rPr>
          <w:b/>
        </w:rPr>
        <w:t>Part 3. Miscellaneous.</w:t>
      </w:r>
    </w:p>
    <w:p>
      <w:pPr>
        <w:pStyle w:val="BodyTextJ"/>
        <w:rPr/>
      </w:pPr>
      <w:r>
        <w:rPr/>
        <w:t>(a)</w:t>
      </w:r>
      <w:r>
        <w:rPr>
          <w:b/>
          <w:i/>
        </w:rPr>
        <w:tab/>
        <w:t>Notices.</w:t>
      </w:r>
      <w:r>
        <w:rPr/>
        <w:t xml:space="preserve">  For the purpose of Section 10(a) of this Agreement:</w:t>
      </w:r>
    </w:p>
    <w:p>
      <w:pPr>
        <w:pStyle w:val="BodyText5J"/>
        <w:spacing w:before="0" w:after="0"/>
        <w:rPr/>
      </w:pPr>
      <w:r>
        <w:rPr/>
        <w:t>Address for notices or communications to Party A:</w:t>
      </w:r>
    </w:p>
    <w:p>
      <w:pPr>
        <w:pStyle w:val="Signature"/>
        <w:spacing w:before="0" w:after="0"/>
        <w:ind w:hanging="1440" w:start="2160" w:end="0"/>
        <w:rPr/>
      </w:pPr>
      <w:r>
        <w:rPr/>
      </w:r>
    </w:p>
    <w:p>
      <w:pPr>
        <w:pStyle w:val="Signature"/>
        <w:spacing w:before="0" w:after="0"/>
        <w:ind w:hanging="1440" w:start="2160" w:end="0"/>
        <w:rPr/>
      </w:pPr>
      <w:r>
        <w:rPr/>
        <w:t>Address:</w:t>
        <w:tab/>
      </w:r>
    </w:p>
    <w:p>
      <w:pPr>
        <w:pStyle w:val="BodyText5J"/>
        <w:rPr/>
      </w:pPr>
      <w:r>
        <w:rPr/>
      </w:r>
    </w:p>
    <w:p>
      <w:pPr>
        <w:pStyle w:val="BodyText5J"/>
        <w:tabs>
          <w:tab w:val="clear" w:pos="720"/>
          <w:tab w:val="left" w:pos="2160" w:leader="none"/>
          <w:tab w:val="left" w:pos="3960" w:leader="none"/>
        </w:tabs>
        <w:spacing w:before="0" w:after="0"/>
        <w:rPr/>
      </w:pPr>
      <w:r>
        <w:rPr/>
        <w:t xml:space="preserve">Fax No.: </w:t>
        <w:tab/>
        <w:t xml:space="preserve">212-272-9857 </w:t>
        <w:tab/>
        <w:t>Telephone No.:  212-272-2840</w:t>
      </w:r>
    </w:p>
    <w:p>
      <w:pPr>
        <w:pStyle w:val="BodyText5J"/>
        <w:rPr/>
      </w:pPr>
      <w:r>
        <w:rPr/>
      </w:r>
    </w:p>
    <w:p>
      <w:pPr>
        <w:pStyle w:val="BodyText5J"/>
        <w:rPr/>
      </w:pPr>
      <w:r>
        <w:rPr/>
        <w:t>with a copy to:</w:t>
      </w:r>
    </w:p>
    <w:p>
      <w:pPr>
        <w:pStyle w:val="BodyText1J"/>
        <w:rPr/>
      </w:pPr>
      <w:r>
        <w:rPr/>
      </w:r>
    </w:p>
    <w:p>
      <w:pPr>
        <w:pStyle w:val="BodyText5J"/>
        <w:rPr/>
      </w:pPr>
      <w:r>
        <w:rPr/>
        <w:t>Address for notice or communications to Party B:</w:t>
      </w:r>
    </w:p>
    <w:p>
      <w:pPr>
        <w:pStyle w:val="BodyText5J"/>
        <w:spacing w:before="0" w:after="0"/>
        <w:ind w:hanging="1440" w:start="2160" w:end="0"/>
        <w:rPr/>
      </w:pPr>
      <w:r>
        <w:rPr/>
        <w:t xml:space="preserve">Address: </w:t>
        <w:tab/>
        <w:t>Sacramento Municipal Utility District</w:t>
      </w:r>
    </w:p>
    <w:p>
      <w:pPr>
        <w:pStyle w:val="Signature"/>
        <w:spacing w:before="0" w:after="0"/>
        <w:ind w:hanging="1440" w:start="2160" w:end="0"/>
        <w:rPr/>
      </w:pPr>
      <w:r>
        <w:rPr/>
        <w:tab/>
        <w:t>6201 S Street</w:t>
      </w:r>
    </w:p>
    <w:p>
      <w:pPr>
        <w:pStyle w:val="Signature"/>
        <w:spacing w:before="0" w:after="0"/>
        <w:ind w:hanging="1440" w:start="2160" w:end="0"/>
        <w:rPr/>
      </w:pPr>
      <w:r>
        <w:rPr/>
        <w:tab/>
        <w:t>Sacramento, California 95817-1899</w:t>
      </w:r>
    </w:p>
    <w:p>
      <w:pPr>
        <w:pStyle w:val="BodyText5J"/>
        <w:spacing w:before="0" w:after="0"/>
        <w:ind w:hanging="1440" w:start="2160" w:end="0"/>
        <w:rPr/>
      </w:pPr>
      <w:r>
        <w:rPr/>
        <w:tab/>
        <w:t>Attention:</w:t>
        <w:tab/>
        <w:t>Treasurer</w:t>
      </w:r>
    </w:p>
    <w:p>
      <w:pPr>
        <w:pStyle w:val="BodyText5J"/>
        <w:spacing w:before="0" w:after="0"/>
        <w:ind w:hanging="0" w:start="720" w:end="0"/>
        <w:rPr/>
      </w:pPr>
      <w:r>
        <w:rPr/>
      </w:r>
    </w:p>
    <w:p>
      <w:pPr>
        <w:pStyle w:val="BodyText5J"/>
        <w:tabs>
          <w:tab w:val="clear" w:pos="720"/>
          <w:tab w:val="left" w:pos="2160" w:leader="none"/>
          <w:tab w:val="left" w:pos="3960" w:leader="none"/>
        </w:tabs>
        <w:jc w:val="start"/>
        <w:rPr/>
      </w:pPr>
      <w:r>
        <w:rPr/>
        <w:t>Fax No.:</w:t>
        <w:tab/>
        <w:t>916-732-5835</w:t>
        <w:tab/>
        <w:t>Telephone No.:  916-732-6492</w:t>
      </w:r>
    </w:p>
    <w:p>
      <w:pPr>
        <w:pStyle w:val="BodyTextJ"/>
        <w:rPr/>
      </w:pPr>
      <w:r>
        <w:rPr/>
        <w:t>(b)</w:t>
      </w:r>
      <w:r>
        <w:rPr>
          <w:b/>
          <w:i/>
        </w:rPr>
        <w:tab/>
        <w:t>Calculation Agent.</w:t>
      </w:r>
      <w:r>
        <w:rPr/>
        <w:t xml:space="preserve">  The Calculation Agent is Party A.</w:t>
      </w:r>
    </w:p>
    <w:p>
      <w:pPr>
        <w:pStyle w:val="BodyTextJ"/>
        <w:rPr/>
      </w:pPr>
      <w:r>
        <w:rPr/>
        <w:t>(c)</w:t>
      </w:r>
      <w:r>
        <w:rPr>
          <w:b/>
          <w:i/>
        </w:rPr>
        <w:tab/>
        <w:t>Credit Support Document.</w:t>
      </w:r>
      <w:r>
        <w:rPr/>
        <w:t xml:space="preserve"> [ Details of any Credit Support Document: in relation to Party A means the Guarantee of [___________] attached as Exhibit __.]</w:t>
      </w:r>
    </w:p>
    <w:p>
      <w:pPr>
        <w:pStyle w:val="BodyTextJ"/>
        <w:rPr/>
      </w:pPr>
      <w:r>
        <w:rPr/>
        <w:t>(d)</w:t>
      </w:r>
      <w:r>
        <w:rPr>
          <w:b/>
          <w:i/>
        </w:rPr>
        <w:tab/>
        <w:t>Credit Support Provider.</w:t>
      </w:r>
      <w:r>
        <w:rPr/>
        <w:t xml:space="preserve">  Credit Support Provider means in relation to Party A, [___________]</w:t>
      </w:r>
    </w:p>
    <w:p>
      <w:pPr>
        <w:pStyle w:val="BodyTextJ"/>
        <w:rPr/>
      </w:pPr>
      <w:r>
        <w:rPr/>
        <w:t>(e)</w:t>
      </w:r>
      <w:r>
        <w:rPr>
          <w:b/>
          <w:i/>
        </w:rPr>
        <w:tab/>
        <w:t>Governing Law.</w:t>
      </w:r>
      <w:r>
        <w:rPr/>
        <w:t xml:space="preserve">  This Agreement will be governed by and construed in accordance with the laws of the State of New York (without reference to choice of law doctrine).</w:t>
      </w:r>
    </w:p>
    <w:p>
      <w:pPr>
        <w:pStyle w:val="BodyTextJ"/>
        <w:rPr/>
      </w:pPr>
      <w:r>
        <w:rPr/>
        <w:t>(f)</w:t>
      </w:r>
      <w:r>
        <w:rPr>
          <w:b/>
          <w:i/>
        </w:rPr>
        <w:tab/>
        <w:t>Netting of Payments.</w:t>
      </w:r>
      <w:r>
        <w:rPr/>
        <w:t xml:space="preserve">  Subparagraph (ii) of Section 2(c) of this Agreement will apply to all Transactions entered into between Party A and Party B.</w:t>
      </w:r>
    </w:p>
    <w:p>
      <w:pPr>
        <w:pStyle w:val="BodyTextJ"/>
        <w:rPr/>
      </w:pPr>
      <w:r>
        <w:rPr/>
        <w:t>(g)</w:t>
      </w:r>
      <w:r>
        <w:rPr>
          <w:b/>
          <w:i/>
        </w:rPr>
        <w:tab/>
        <w:t>“Affiliate”</w:t>
      </w:r>
      <w:r>
        <w:rPr/>
        <w:t xml:space="preserve"> will have the meaning specified in Section 12 of this Agreement, but with respect to Party B, will exclude any joint power agency of which Party B is a member or is otherwise related.</w:t>
      </w:r>
    </w:p>
    <w:p>
      <w:pPr>
        <w:pStyle w:val="BodyTextJ"/>
        <w:rPr/>
      </w:pPr>
      <w:r>
        <w:rPr/>
        <w:t>(h)</w:t>
      </w:r>
      <w:r>
        <w:rPr>
          <w:b/>
          <w:i/>
        </w:rPr>
        <w:tab/>
        <w:t>“Government Entity”</w:t>
      </w:r>
      <w:r>
        <w:rPr/>
        <w:t xml:space="preserve"> means Party B.</w:t>
      </w:r>
    </w:p>
    <w:p>
      <w:pPr>
        <w:pStyle w:val="BodyTextJ"/>
        <w:rPr/>
      </w:pPr>
      <w:r>
        <w:rPr/>
        <w:t>(i)</w:t>
      </w:r>
      <w:r>
        <w:rPr>
          <w:b/>
          <w:i/>
        </w:rPr>
        <w:tab/>
        <w:t>Account details.</w:t>
      </w:r>
      <w:r>
        <w:rPr/>
        <w:t xml:space="preserve">  Payments shall be made to the following accounts:</w:t>
      </w:r>
    </w:p>
    <w:p>
      <w:pPr>
        <w:pStyle w:val="BodyText1J"/>
        <w:rPr/>
      </w:pPr>
      <w:r>
        <w:rPr/>
        <w:t>Payments to Party A:</w:t>
      </w:r>
    </w:p>
    <w:p>
      <w:pPr>
        <w:pStyle w:val="BodyText1J"/>
        <w:rPr/>
      </w:pPr>
      <w:r>
        <w:rPr/>
      </w:r>
    </w:p>
    <w:p>
      <w:pPr>
        <w:pStyle w:val="BodyText1J"/>
        <w:spacing w:before="0" w:after="0"/>
        <w:rPr/>
      </w:pPr>
      <w:r>
        <w:rPr/>
        <w:t xml:space="preserve">Account:  </w:t>
      </w:r>
    </w:p>
    <w:p>
      <w:pPr>
        <w:pStyle w:val="BodyText1J"/>
        <w:spacing w:before="0" w:after="0"/>
        <w:rPr/>
      </w:pPr>
      <w:r>
        <w:rPr/>
        <w:t xml:space="preserve">Account Number:  </w:t>
      </w:r>
    </w:p>
    <w:p>
      <w:pPr>
        <w:pStyle w:val="BodyText1J"/>
        <w:spacing w:before="0" w:after="0"/>
        <w:rPr/>
      </w:pPr>
      <w:r>
        <w:rPr/>
        <w:t xml:space="preserve">ABA umber:  </w:t>
      </w:r>
    </w:p>
    <w:p>
      <w:pPr>
        <w:pStyle w:val="BodyText1J"/>
        <w:spacing w:before="0" w:after="0"/>
        <w:rPr/>
      </w:pPr>
      <w:r>
        <w:rPr/>
        <w:t xml:space="preserve">Attention:  </w:t>
      </w:r>
    </w:p>
    <w:p>
      <w:pPr>
        <w:pStyle w:val="BodyText1J"/>
        <w:spacing w:before="0" w:after="0"/>
        <w:rPr/>
      </w:pPr>
      <w:r>
        <w:rPr/>
        <w:t>Payments to Party B:</w:t>
      </w:r>
    </w:p>
    <w:p>
      <w:pPr>
        <w:pStyle w:val="BodyText1J"/>
        <w:spacing w:before="0" w:after="0"/>
        <w:rPr/>
      </w:pPr>
      <w:r>
        <w:rPr/>
        <w:t>BK AMER SF/GENERAL/SMUD ABA # 1210-0035-8</w:t>
      </w:r>
    </w:p>
    <w:p>
      <w:pPr>
        <w:pStyle w:val="BodyText1J"/>
        <w:spacing w:before="0" w:after="0"/>
        <w:rPr/>
      </w:pPr>
      <w:r>
        <w:rPr/>
        <w:t>FOR FURTHER CREDIT TO SACRAMENTO CBO #1489 ACCOUNT NO. 01488-80182</w:t>
      </w:r>
    </w:p>
    <w:p>
      <w:pPr>
        <w:pStyle w:val="BodyText1J"/>
        <w:spacing w:before="0" w:after="0"/>
        <w:rPr/>
      </w:pPr>
      <w:r>
        <w:rPr/>
      </w:r>
    </w:p>
    <w:p>
      <w:pPr>
        <w:pStyle w:val="BodyTextJ"/>
        <w:rPr>
          <w:b/>
        </w:rPr>
      </w:pPr>
      <w:r>
        <w:rPr>
          <w:b/>
        </w:rPr>
        <w:t>Part 4. Other Provisions.</w:t>
      </w:r>
    </w:p>
    <w:p>
      <w:pPr>
        <w:pStyle w:val="BodyTextJ"/>
        <w:rPr/>
      </w:pPr>
      <w:r>
        <w:rPr/>
        <w:t>(a)</w:t>
      </w:r>
      <w:r>
        <w:rPr>
          <w:b/>
          <w:i/>
        </w:rPr>
        <w:tab/>
        <w:t>Representations.</w:t>
      </w:r>
    </w:p>
    <w:p>
      <w:pPr>
        <w:pStyle w:val="BodyText1J"/>
        <w:rPr/>
      </w:pPr>
      <w:r>
        <w:rPr/>
        <w:t>(i)</w:t>
        <w:tab/>
        <w:t>The introductory clause of Section 3 of this Agreement is hereby amended to read in its entirety as follows:</w:t>
      </w:r>
    </w:p>
    <w:p>
      <w:pPr>
        <w:pStyle w:val="BodyText5J"/>
        <w:rPr/>
      </w:pPr>
      <w:r>
        <w:rPr/>
        <w:t>“</w:t>
      </w:r>
      <w:r>
        <w:rPr/>
        <w:t>Each party represents to the other party (which representations will be deemed to be repeated by each party on each date on which a Transaction is entered into and, in the case of the representations in Section 3(a) and 3(e), at all times until the termination of this Agreement) that:--”</w:t>
      </w:r>
    </w:p>
    <w:p>
      <w:pPr>
        <w:pStyle w:val="BodyText5J"/>
        <w:rPr/>
      </w:pPr>
      <w:r>
        <w:rPr/>
        <w:tab/>
        <w:t>(ii)</w:t>
        <w:tab/>
        <w:t>Section 3(a) of this Agreement is hereby amended by adding the following subparagraph (vi) and (vii):</w:t>
      </w:r>
    </w:p>
    <w:p>
      <w:pPr>
        <w:pStyle w:val="BodyText5J"/>
        <w:rPr/>
      </w:pPr>
      <w:r>
        <w:rPr/>
        <w:t>“</w:t>
      </w:r>
      <w:r>
        <w:rPr/>
        <w:t xml:space="preserve">(vi) </w:t>
      </w:r>
      <w:r>
        <w:rPr>
          <w:b/>
          <w:i/>
        </w:rPr>
        <w:t>Eligible Swap Participant</w:t>
      </w:r>
      <w:r>
        <w:rPr/>
        <w:t>.  It is an “eligible swap participant” within the meaning of CFTC Regulations Section 35.1(b)(2).</w:t>
      </w:r>
    </w:p>
    <w:p>
      <w:pPr>
        <w:pStyle w:val="BodyText5J"/>
        <w:rPr/>
      </w:pPr>
      <w:r>
        <w:rPr/>
        <w:t xml:space="preserve">(vii)  </w:t>
      </w:r>
      <w:r>
        <w:rPr>
          <w:i/>
        </w:rPr>
        <w:t>Commercial User</w:t>
      </w:r>
      <w:r>
        <w:rPr/>
        <w:t>.  When it enters into a Transaction which is an option, it will be a producer, processor or commercial user of, or a merchant handling, the commodity covered by such Transaction (or the products or by-products thereof), and will enter into such Transaction solely for purposes related to its business as such.”</w:t>
      </w:r>
    </w:p>
    <w:p>
      <w:pPr>
        <w:pStyle w:val="BodyText1J"/>
        <w:rPr/>
      </w:pPr>
      <w:r>
        <w:rPr/>
        <w:t>(iii)</w:t>
        <w:tab/>
        <w:t>Section 3 of this Agreement is hereby amended by adding the following subsection”(e)” thereto, which subsection shall only apply to the Government Entity:</w:t>
      </w:r>
    </w:p>
    <w:p>
      <w:pPr>
        <w:pStyle w:val="BodyText5J"/>
        <w:rPr/>
      </w:pPr>
      <w:r>
        <w:rPr>
          <w:b/>
        </w:rPr>
        <w:t>“</w:t>
      </w:r>
      <w:r>
        <w:rPr>
          <w:b/>
        </w:rPr>
        <w:t>(e)</w:t>
      </w:r>
      <w:r>
        <w:rPr/>
        <w:t xml:space="preserve"> </w:t>
      </w:r>
      <w:r>
        <w:rPr>
          <w:b/>
          <w:i/>
        </w:rPr>
        <w:t>Non-Speculation.</w:t>
      </w:r>
      <w:r>
        <w:rPr/>
        <w:t xml:space="preserve">  This Agreement has been, and each Transaction hereunder will be (and, if applicable, has been), entered into for purposes of managing its borrowings or investments and not for purposes of speculation.”</w:t>
      </w:r>
    </w:p>
    <w:p>
      <w:pPr>
        <w:pStyle w:val="BodyText1J"/>
        <w:rPr/>
      </w:pPr>
      <w:r>
        <w:rPr/>
        <w:t>(iv)</w:t>
        <w:tab/>
        <w:t>Section 3 of this Agreement is hereby amended by adding the following subsection “(f)” thereto:</w:t>
      </w:r>
    </w:p>
    <w:p>
      <w:pPr>
        <w:pStyle w:val="BodyText5J"/>
        <w:rPr/>
      </w:pPr>
      <w:r>
        <w:rPr>
          <w:b/>
        </w:rPr>
        <w:t>“</w:t>
      </w:r>
      <w:r>
        <w:rPr>
          <w:b/>
        </w:rPr>
        <w:t>(f)</w:t>
      </w:r>
      <w:r>
        <w:rPr/>
        <w:t xml:space="preserve"> </w:t>
      </w:r>
      <w:r>
        <w:rPr>
          <w:b/>
          <w:i/>
        </w:rPr>
        <w:t>No Immunity.</w:t>
      </w:r>
      <w:r>
        <w:rPr/>
        <w:t xml:space="preserve">  It is not immune from suit for amounts due and payable pursuant to this Agreement because of its status as a political subdivision of the State of California.”</w:t>
      </w:r>
    </w:p>
    <w:p>
      <w:pPr>
        <w:pStyle w:val="BodyText1J"/>
        <w:rPr/>
      </w:pPr>
      <w:r>
        <w:rPr/>
        <w:t>(v)</w:t>
        <w:tab/>
        <w:t>Section 3 of this Agreement is hereby amended by adding the following subsection “(g)” thereto:</w:t>
      </w:r>
    </w:p>
    <w:p>
      <w:pPr>
        <w:pStyle w:val="BodyText5J"/>
        <w:rPr/>
      </w:pPr>
      <w:r>
        <w:rPr>
          <w:b/>
        </w:rPr>
        <w:t>“</w:t>
      </w:r>
      <w:r>
        <w:rPr>
          <w:b/>
        </w:rPr>
        <w:t>(g)</w:t>
      </w:r>
      <w:r>
        <w:rPr/>
        <w:t xml:space="preserve"> </w:t>
      </w:r>
      <w:r>
        <w:rPr>
          <w:b/>
          <w:i/>
        </w:rPr>
        <w:t>No Reliance.</w:t>
      </w:r>
      <w:r>
        <w:rPr/>
        <w:t xml:space="preserve">  In connection with the negotiation of, the entering into, and the confirming of the execution of, this Agreement, any credit Support Document to which it is a party, and each Transaction:  (i) the other party is not acting as a fiduciary or financial or investment advisor for it; (ii) it is not relying upon any representations (whether written or oral) of the other party other than the representations expressly set forth in this Agreement and in such Credit Support Document; (iii)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(iv) has been the result of arm’s length negotiations between the parties; and (v) it is entering into this Agreement, such Credit Support Document, and such Transaction with a full understanding of all of the risks hereof and thereof (economic and otherwise), and it is capable of assuming and willing to assume (financially and otherwise) those risks.”</w:t>
      </w:r>
    </w:p>
    <w:p>
      <w:pPr>
        <w:pStyle w:val="BodyTextJ"/>
        <w:rPr/>
      </w:pPr>
      <w:r>
        <w:rPr/>
        <w:t>(b)</w:t>
      </w:r>
      <w:r>
        <w:rPr>
          <w:b/>
          <w:i/>
        </w:rPr>
        <w:tab/>
        <w:t>Agreements.</w:t>
      </w:r>
    </w:p>
    <w:p>
      <w:pPr>
        <w:pStyle w:val="BodyText1J"/>
        <w:rPr/>
      </w:pPr>
      <w:r>
        <w:rPr/>
        <w:t>(i)</w:t>
        <w:tab/>
        <w:t>Section 4 of this Agreement is hereby amended by adding the following subsection “(f)” thereto:-</w:t>
      </w:r>
    </w:p>
    <w:p>
      <w:pPr>
        <w:pStyle w:val="BodyText5J"/>
        <w:rPr/>
      </w:pPr>
      <w:r>
        <w:rPr/>
        <w:t>“</w:t>
      </w:r>
      <w:r>
        <w:rPr/>
        <w:t xml:space="preserve">(f) </w:t>
      </w:r>
      <w:r>
        <w:rPr>
          <w:b/>
          <w:i/>
        </w:rPr>
        <w:t>Source of Payments.</w:t>
      </w:r>
      <w:r>
        <w:rPr/>
        <w:t xml:space="preserve"> The obligations of Party B to make payments to Party A under this Agreement are subordinate to Party B’s obligations on its Parity Bonds (as defined in Resolution No. 6649 of Party B), Subordinated Electric Revenue Bonds (as defined in Resolution No. 85-11-1), commercial paper (as defined in Resolution No. 95-09-02 of Party B) and reimbursement obligations of Party B related thereto, whether such Parity Bonds, Subordinated Electric Revenue Bonds, commercial paper or reimbursement obligations are presently outstanding or incurred after the date hereof (collectively, the “Senior Obligations”), and thus are payable solely from Net Revenues (as defined in Resolution No. 6649 of Party B) after the payment of amounts then due on the Senior Obligations.”</w:t>
      </w:r>
    </w:p>
    <w:p>
      <w:pPr>
        <w:pStyle w:val="BodyTextJ"/>
        <w:rPr/>
      </w:pPr>
      <w:r>
        <w:rPr/>
        <w:t>(c)</w:t>
      </w:r>
      <w:r>
        <w:rPr>
          <w:b/>
          <w:i/>
        </w:rPr>
        <w:tab/>
        <w:t>Transfer.</w:t>
      </w:r>
      <w:r>
        <w:rPr/>
        <w:t xml:space="preserve">  Section 7 of this Agreement is hereby amended to read in its entirety as follows:</w:t>
      </w:r>
    </w:p>
    <w:p>
      <w:pPr>
        <w:pStyle w:val="BodyText5J"/>
        <w:rPr/>
      </w:pPr>
      <w:r>
        <w:rPr/>
        <w:t>“</w:t>
      </w:r>
      <w:r>
        <w:rPr/>
        <w:t>Neither this Agreement nor any interest or obligation in or under this Agreement may be transferred (whether by way of security or otherwise) by either party without the prior written consent of the other party, except that: -</w:t>
      </w:r>
    </w:p>
    <w:p>
      <w:pPr>
        <w:pStyle w:val="BodyText5J"/>
        <w:rPr/>
      </w:pPr>
      <w:r>
        <w:rPr/>
        <w:t>(a)</w:t>
        <w:tab/>
        <w:t>a party may make such a transfer of this Agreement pursuant to a consolidation or amalgamation with, or merger with or into, or transfer of all or substantially all its assets to, another entity (but without prejudice to any other right or remedy under this Agreement); or</w:t>
      </w:r>
    </w:p>
    <w:p>
      <w:pPr>
        <w:pStyle w:val="BodyText5J"/>
        <w:rPr/>
      </w:pPr>
      <w:r>
        <w:rPr/>
        <w:t>(b)</w:t>
        <w:tab/>
        <w:t>a party may make such a transfer of all or any part of its interest in any amount payable to it from a Defaulting Party under Section 6(e).</w:t>
      </w:r>
    </w:p>
    <w:p>
      <w:pPr>
        <w:pStyle w:val="BodyTextJ"/>
        <w:rPr/>
      </w:pPr>
      <w:r>
        <w:rPr/>
        <w:t>(d)</w:t>
        <w:tab/>
      </w:r>
      <w:r>
        <w:rPr>
          <w:i/>
        </w:rPr>
        <w:t>Miscellaneous</w:t>
      </w:r>
      <w:r>
        <w:rPr/>
        <w:t>.  Section 9 of this Agreement is hereby amended by adding the following subsection “(h)” thereto:-</w:t>
      </w:r>
    </w:p>
    <w:p>
      <w:pPr>
        <w:pStyle w:val="BodyTextJ"/>
        <w:rPr/>
      </w:pPr>
      <w:r>
        <w:rPr/>
        <w:tab/>
        <w:t>“(h)</w:t>
        <w:tab/>
      </w:r>
      <w:r>
        <w:rPr>
          <w:i/>
        </w:rPr>
        <w:t>Dealer Market Practices</w:t>
      </w:r>
      <w:r>
        <w:rPr/>
        <w:t>.  To the extent applicable, the obligations of the parties are to be construed in accordance with practices in the international financial or commodity, as applicable, dealer market.”</w:t>
      </w:r>
    </w:p>
    <w:p>
      <w:pPr>
        <w:pStyle w:val="BodyTextJ"/>
        <w:rPr/>
      </w:pPr>
      <w:r>
        <w:rPr/>
        <w:t>(e)</w:t>
      </w:r>
      <w:r>
        <w:rPr>
          <w:b/>
          <w:i/>
        </w:rPr>
        <w:tab/>
        <w:t>Jurisdiction/Waiver of Immunities:</w:t>
      </w:r>
      <w:r>
        <w:rPr/>
        <w:t xml:space="preserve"> Section 13(b) and Section 13(d) of this Agreement are hereby deleted in their entirety.</w:t>
      </w:r>
    </w:p>
    <w:p>
      <w:pPr>
        <w:pStyle w:val="BodyText5J"/>
        <w:ind w:hanging="0" w:end="0"/>
        <w:rPr/>
      </w:pPr>
      <w:r>
        <w:rPr/>
        <w:t>(f)</w:t>
        <w:tab/>
        <w:t xml:space="preserve">(1)  </w:t>
      </w:r>
      <w:r>
        <w:rPr>
          <w:i/>
        </w:rPr>
        <w:t>Market Disruption Events</w:t>
      </w:r>
      <w:r>
        <w:rPr/>
        <w:t>.  Each of the following events shall constitute a Market Disruption Event hereunder:</w:t>
      </w:r>
    </w:p>
    <w:p>
      <w:pPr>
        <w:pStyle w:val="BodyText5J"/>
        <w:numPr>
          <w:ilvl w:val="0"/>
          <w:numId w:val="2"/>
        </w:numPr>
        <w:tabs>
          <w:tab w:val="clear" w:pos="720"/>
        </w:tabs>
        <w:ind w:firstLine="1440" w:start="0" w:end="0"/>
        <w:rPr/>
      </w:pPr>
      <w:r>
        <w:rPr/>
        <w:t>Price Source Disruption</w:t>
      </w:r>
    </w:p>
    <w:p>
      <w:pPr>
        <w:pStyle w:val="BodyText5J"/>
        <w:numPr>
          <w:ilvl w:val="0"/>
          <w:numId w:val="2"/>
        </w:numPr>
        <w:tabs>
          <w:tab w:val="clear" w:pos="720"/>
        </w:tabs>
        <w:ind w:firstLine="1440" w:start="0" w:end="0"/>
        <w:rPr/>
      </w:pPr>
      <w:r>
        <w:rPr/>
        <w:t>Trading Suspension</w:t>
      </w:r>
    </w:p>
    <w:p>
      <w:pPr>
        <w:pStyle w:val="BodyText5J"/>
        <w:numPr>
          <w:ilvl w:val="0"/>
          <w:numId w:val="2"/>
        </w:numPr>
        <w:tabs>
          <w:tab w:val="clear" w:pos="720"/>
        </w:tabs>
        <w:ind w:firstLine="1440" w:start="0" w:end="0"/>
        <w:rPr/>
      </w:pPr>
      <w:r>
        <w:rPr/>
        <w:t>Disappearance of Commodity Reference Price</w:t>
      </w:r>
    </w:p>
    <w:p>
      <w:pPr>
        <w:pStyle w:val="BodyText5J"/>
        <w:numPr>
          <w:ilvl w:val="0"/>
          <w:numId w:val="2"/>
        </w:numPr>
        <w:tabs>
          <w:tab w:val="clear" w:pos="720"/>
        </w:tabs>
        <w:ind w:firstLine="1440" w:start="0" w:end="0"/>
        <w:rPr/>
      </w:pPr>
      <w:r>
        <w:rPr/>
        <w:t>Material Change in Formula</w:t>
      </w:r>
    </w:p>
    <w:p>
      <w:pPr>
        <w:pStyle w:val="BodyText5J"/>
        <w:numPr>
          <w:ilvl w:val="0"/>
          <w:numId w:val="2"/>
        </w:numPr>
        <w:tabs>
          <w:tab w:val="clear" w:pos="720"/>
        </w:tabs>
        <w:ind w:firstLine="1440" w:start="0" w:end="0"/>
        <w:rPr/>
      </w:pPr>
      <w:r>
        <w:rPr/>
        <w:t>Material Change in Content</w:t>
      </w:r>
    </w:p>
    <w:p>
      <w:pPr>
        <w:pStyle w:val="BodyText5J"/>
        <w:numPr>
          <w:ilvl w:val="0"/>
          <w:numId w:val="2"/>
        </w:numPr>
        <w:tabs>
          <w:tab w:val="clear" w:pos="720"/>
        </w:tabs>
        <w:ind w:firstLine="1440" w:start="0" w:end="0"/>
        <w:rPr/>
      </w:pPr>
      <w:r>
        <w:rPr>
          <w:i/>
        </w:rPr>
        <w:t>De Minimis</w:t>
      </w:r>
      <w:r>
        <w:rPr/>
        <w:t xml:space="preserve"> Trading (provided that the Confirmation specifies a Minimum Futures Contract amount)</w:t>
      </w:r>
    </w:p>
    <w:p>
      <w:pPr>
        <w:pStyle w:val="BodyText5J"/>
        <w:rPr/>
      </w:pPr>
      <w:r>
        <w:rPr/>
        <w:t>In addition, a “Limit Move,” as defined herein, shall also constitute a Market Disruption Event when a Commodity Reference Price is based on a NYMEX futures contract.  A Limit Move shall have occurred if (x) pursuant to any act of, or rules or regulations of NYMEX or any governmental authority having jurisdiction over NYMEX, there is, on any Pricing Date, a limit to the amount by which the settlement price of the NYMEX futures contract may increase or decrease from the preceding Commodity Business Day’s settlement price (the “Limit Amount”) and (y) the settlement price of such NYMEX futures contract on such Pricing Date increases or decreases by the Limit Amount.</w:t>
      </w:r>
    </w:p>
    <w:p>
      <w:pPr>
        <w:pStyle w:val="BodyText5J"/>
        <w:rPr/>
      </w:pPr>
      <w:r>
        <w:rPr/>
        <w:t>(2)  Disruption Fallbacks.  If a Market Disruption Event occurs on a Pricing Date, then the Commodity Reference Price for such day (a “Missing Day”) shall be determined in accordance with the Market Disruption provisions agreed to by the parties in the Confirmation for the relevant Transaction.  If no Market Disruption terms have been agreed upon, then the Commodity Reference Price shall be determined in the following manner.</w:t>
      </w:r>
    </w:p>
    <w:p>
      <w:pPr>
        <w:pStyle w:val="BodyText5J"/>
        <w:ind w:hanging="0" w:start="720" w:end="0"/>
        <w:rPr/>
      </w:pPr>
      <w:r>
        <w:rPr/>
        <w:t>(i)</w:t>
        <w:tab/>
        <w:t xml:space="preserve">With respect to a Transaction with a Calculation Period consisting of eight or more Commodity Business Days, the Commodity Reference Price for such Missing Day shall be the Commodity Reference Price published on the next Commodity Business Day on which such Commodity Reference Price is available, </w:t>
      </w:r>
      <w:r>
        <w:rPr>
          <w:u w:val="single"/>
        </w:rPr>
        <w:t>provided</w:t>
      </w:r>
      <w:r>
        <w:rPr/>
        <w:t xml:space="preserve">, </w:t>
      </w:r>
      <w:r>
        <w:rPr>
          <w:u w:val="single"/>
        </w:rPr>
        <w:t>however</w:t>
      </w:r>
      <w:r>
        <w:rPr/>
        <w:t>, that if the Market Disruption Event occurs for eight (8) consecutive Commodity Business Days in the Calculation Period or if another Commodity Reference Price is not available within the Calculation Period, then the Commodity Reference Price for the Missing Day or Missing Days shall be calculated in the manner set forth in (ii) below, for Calculation Periods consisting of less than eight Commodity Business Days.</w:t>
      </w:r>
    </w:p>
    <w:p>
      <w:pPr>
        <w:pStyle w:val="BodyTextJ"/>
        <w:ind w:start="720" w:end="0"/>
        <w:rPr/>
      </w:pPr>
      <w:r>
        <w:rPr/>
        <w:t>(ii)</w:t>
        <w:tab/>
        <w:t>With respect to a Transaction with a Calculation Period consisting of less than eight Commodity Business Days, the parties shall promptly endeavor to agree on an alternative source for determination of the Commodity Reference Price for the Missing Day(s).  If such agreement is not reached by the parties within three (3) business days, Party A shall determine the Commodity Reference Price by taking the average of the price quotations for the relevant Commodity and the relevant Missing Day(s) obtained from at least two and no more than four internationally recognized dealers in such Commodity, as selected by Party A.</w:t>
      </w:r>
    </w:p>
    <w:p>
      <w:pPr>
        <w:pStyle w:val="BodyTextJ"/>
        <w:rPr/>
      </w:pPr>
      <w:r>
        <w:rPr/>
        <w:t>(g)</w:t>
      </w:r>
      <w:r>
        <w:rPr>
          <w:b/>
          <w:i/>
        </w:rPr>
        <w:tab/>
        <w:t>Definitions.</w:t>
      </w:r>
      <w:r>
        <w:rPr/>
        <w:t xml:space="preserve">  (1)  Any capitalized terms used herein and not otherwise defined herein shall have the respective meanings ascribed to them in the 1991 ISDA Definitions and the 1993 Commodity Derivative Definitions (as published by the International Swap Dealers Association, Inc.) (collectively, the “Definitions”), which are incorporated into this Agreement.  In the even of any inconsistency between the Definitions and the provisions of the this Agreement, this Agreement will prevail.</w:t>
      </w:r>
    </w:p>
    <w:p>
      <w:pPr>
        <w:pStyle w:val="BodyTextJ"/>
        <w:rPr/>
      </w:pPr>
      <w:r>
        <w:rPr/>
        <w:tab/>
        <w:t>(2)</w:t>
        <w:tab/>
        <w:t>Section 12 of this Agreement is hereby amended to add the following definitions in their appropriate alphabetical order:</w:t>
      </w:r>
    </w:p>
    <w:p>
      <w:pPr>
        <w:pStyle w:val="BodyText5J"/>
        <w:rPr/>
      </w:pPr>
      <w:r>
        <w:rPr>
          <w:b/>
        </w:rPr>
        <w:t>“’</w:t>
      </w:r>
      <w:r>
        <w:rPr>
          <w:b/>
        </w:rPr>
        <w:t xml:space="preserve">Government Entity’ </w:t>
      </w:r>
      <w:r>
        <w:rPr/>
        <w:t>has the meaning specified in the Schedule.”</w:t>
      </w:r>
    </w:p>
    <w:p>
      <w:pPr>
        <w:pStyle w:val="BodyTextJ"/>
        <w:jc w:val="center"/>
        <w:rPr/>
      </w:pPr>
      <w:r>
        <w:rPr/>
        <w:t>[Remainder of Page Intentionally Left Blank]</w:t>
      </w:r>
      <w:r>
        <w:br w:type="page"/>
      </w:r>
    </w:p>
    <w:p>
      <w:pPr>
        <w:pStyle w:val="BodyTextJ"/>
        <w:rPr/>
      </w:pPr>
      <w:r>
        <w:rPr/>
        <w:t>The parties executing this Schedule have executed the Master Agreement and have agreed as to the contents of this Schedule.</w:t>
      </w:r>
    </w:p>
    <w:p>
      <w:pPr>
        <w:pStyle w:val="BodyText5J"/>
        <w:rPr/>
      </w:pPr>
      <w:r>
        <w:rPr/>
        <w:t>[____]</w:t>
      </w:r>
    </w:p>
    <w:p>
      <w:pPr>
        <w:pStyle w:val="Signature"/>
        <w:rPr/>
      </w:pPr>
      <w:r>
        <w:rPr/>
        <w:t>By:</w:t>
        <w:tab/>
      </w:r>
      <w:r>
        <w:rPr>
          <w:u w:val="single"/>
        </w:rPr>
        <w:tab/>
      </w:r>
    </w:p>
    <w:p>
      <w:pPr>
        <w:pStyle w:val="BodyText5J"/>
        <w:rPr/>
      </w:pPr>
      <w:r>
        <w:rPr/>
        <w:t>Name:</w:t>
      </w:r>
      <w:r>
        <w:rPr>
          <w:u w:val="single"/>
        </w:rPr>
        <w:t xml:space="preserve"> </w:t>
      </w:r>
    </w:p>
    <w:p>
      <w:pPr>
        <w:pStyle w:val="BodyText5J"/>
        <w:rPr/>
      </w:pPr>
      <w:r>
        <w:rPr/>
        <w:t>Title:</w:t>
      </w:r>
      <w:r>
        <w:rPr>
          <w:u w:val="single"/>
        </w:rPr>
        <w:t xml:space="preserve"> </w:t>
      </w:r>
    </w:p>
    <w:p>
      <w:pPr>
        <w:pStyle w:val="BodyText5J"/>
        <w:rPr/>
      </w:pPr>
      <w:r>
        <w:rPr/>
        <w:t>Date:</w:t>
      </w:r>
      <w:r>
        <w:rPr>
          <w:u w:val="single"/>
        </w:rPr>
        <w:t xml:space="preserve"> </w:t>
      </w:r>
    </w:p>
    <w:p>
      <w:pPr>
        <w:pStyle w:val="BodyText5J"/>
        <w:rPr>
          <w:u w:val="single"/>
        </w:rPr>
      </w:pPr>
      <w:r>
        <w:rPr>
          <w:u w:val="single"/>
        </w:rPr>
      </w:r>
    </w:p>
    <w:p>
      <w:pPr>
        <w:pStyle w:val="BodyText5J"/>
        <w:rPr>
          <w:u w:val="single"/>
        </w:rPr>
      </w:pPr>
      <w:r>
        <w:rPr>
          <w:u w:val="single"/>
        </w:rPr>
      </w:r>
    </w:p>
    <w:p>
      <w:pPr>
        <w:pStyle w:val="BodyText5J"/>
        <w:rPr/>
      </w:pPr>
      <w:r>
        <w:rPr/>
        <w:t>SACRAMENTO MUNICIPAL UTILITY DISTRICT</w:t>
      </w:r>
    </w:p>
    <w:p>
      <w:pPr>
        <w:pStyle w:val="Signature"/>
        <w:rPr/>
      </w:pPr>
      <w:r>
        <w:rPr/>
        <w:t>By:</w:t>
        <w:tab/>
      </w:r>
      <w:r>
        <w:rPr>
          <w:u w:val="single"/>
        </w:rPr>
        <w:tab/>
      </w:r>
    </w:p>
    <w:p>
      <w:pPr>
        <w:pStyle w:val="BodyText5J"/>
        <w:rPr/>
      </w:pPr>
      <w:r>
        <w:rPr/>
        <w:t>Name:</w:t>
      </w:r>
      <w:r>
        <w:rPr>
          <w:u w:val="single"/>
        </w:rPr>
        <w:t xml:space="preserve"> </w:t>
      </w:r>
    </w:p>
    <w:p>
      <w:pPr>
        <w:pStyle w:val="BodyText5J"/>
        <w:rPr/>
      </w:pPr>
      <w:r>
        <w:rPr/>
        <w:t>Title:</w:t>
      </w:r>
      <w:r>
        <w:rPr>
          <w:u w:val="single"/>
        </w:rPr>
        <w:t xml:space="preserve"> </w:t>
      </w:r>
    </w:p>
    <w:p>
      <w:pPr>
        <w:pStyle w:val="BodyText5J"/>
        <w:spacing w:before="0" w:after="240"/>
        <w:rPr/>
      </w:pPr>
      <w:r>
        <w:rPr/>
        <w:t>Date:</w:t>
      </w:r>
      <w:r>
        <w:rPr>
          <w:u w:val="single"/>
        </w:rPr>
        <w:t xml:space="preserve">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docVars>
    <w:docVar w:name="iTrailerType" w:val="2"/>
    <w:docVar w:name="zzmpFixedDOC_ID" w:val="DOCSNY1:41444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4"/>
    </w:rPr>
  </w:style>
  <w:style w:type="character" w:styleId="ParagraphNumber">
    <w:name w:val="ParagraphNumbe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680" w:leader="none"/>
        <w:tab w:val="right" w:pos="9360" w:leader="none"/>
      </w:tabs>
      <w:spacing w:lineRule="atLeast" w:line="240"/>
    </w:pPr>
    <w:rPr>
      <w:sz w:val="20"/>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Signature">
    <w:name w:val="Letter Signature"/>
    <w:basedOn w:val="Normal"/>
    <w:qFormat/>
    <w:pPr>
      <w:keepNext w:val="true"/>
      <w:keepLines/>
      <w:ind w:hanging="0" w:start="4320" w:end="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4680" w:leader="none"/>
        <w:tab w:val="right" w:pos="9360" w:leader="none"/>
      </w:tabs>
      <w:spacing w:lineRule="exact" w:line="240"/>
      <w:ind w:hanging="0" w:start="4320" w:end="0"/>
    </w:pPr>
    <w:rPr/>
  </w:style>
  <w:style w:type="paragraph" w:styleId="Quote">
    <w:name w:val="Quote"/>
    <w:basedOn w:val="Normal"/>
    <w:next w:val="BodyTextContinued"/>
    <w:qFormat/>
    <w:pPr>
      <w:widowControl w:val="false"/>
      <w:spacing w:before="0" w:after="240"/>
      <w:ind w:hanging="0" w:start="1440" w:end="1440"/>
    </w:pPr>
    <w:rPr/>
  </w:style>
  <w:style w:type="paragraph" w:styleId="SDP">
    <w:name w:val="SDP"/>
    <w:basedOn w:val="Normal"/>
    <w:next w:val="Normal"/>
    <w:qFormat/>
    <w:pPr>
      <w:spacing w:before="240" w:after="0"/>
    </w:pPr>
    <w:rPr>
      <w:b/>
      <w:smallCaps/>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Heading1Para">
    <w:name w:val="Heading1Para"/>
    <w:basedOn w:val="BodyText"/>
    <w:next w:val="BodyText"/>
    <w:qFormat/>
    <w:pPr>
      <w:widowControl/>
      <w:ind w:hanging="0" w:start="0" w:end="0"/>
      <w:jc w:val="center"/>
    </w:pPr>
    <w:rPr/>
  </w:style>
  <w:style w:type="paragraph" w:styleId="Heading2Para">
    <w:name w:val="Heading2Para"/>
    <w:basedOn w:val="BodyText"/>
    <w:next w:val="BodyText"/>
    <w:qFormat/>
    <w:pPr>
      <w:widowControl/>
      <w:ind w:hanging="0" w:start="0" w:end="0"/>
    </w:pPr>
    <w:rPr/>
  </w:style>
  <w:style w:type="paragraph" w:styleId="Heading3Para">
    <w:name w:val="Heading3Para"/>
    <w:basedOn w:val="BodyText"/>
    <w:next w:val="BodyText"/>
    <w:qFormat/>
    <w:pPr>
      <w:widowControl/>
    </w:pPr>
    <w:rPr/>
  </w:style>
  <w:style w:type="paragraph" w:styleId="Heading4Para">
    <w:name w:val="Heading4Para"/>
    <w:basedOn w:val="BodyText"/>
    <w:next w:val="BodyText"/>
    <w:qFormat/>
    <w:pPr>
      <w:widowControl/>
      <w:ind w:firstLine="2160" w:start="0" w:end="0"/>
    </w:pPr>
    <w:rPr/>
  </w:style>
  <w:style w:type="paragraph" w:styleId="Heading5Para">
    <w:name w:val="Heading5Para"/>
    <w:basedOn w:val="BodyText"/>
    <w:next w:val="BodyText"/>
    <w:qFormat/>
    <w:pPr>
      <w:widowControl/>
      <w:ind w:firstLine="2880" w:start="0" w:end="0"/>
    </w:pPr>
    <w:rPr/>
  </w:style>
  <w:style w:type="paragraph" w:styleId="Heading6Para">
    <w:name w:val="Heading6Para"/>
    <w:basedOn w:val="BodyText"/>
    <w:next w:val="BodyText"/>
    <w:qFormat/>
    <w:pPr>
      <w:widowControl/>
      <w:ind w:firstLine="3600" w:start="0" w:end="0"/>
    </w:pPr>
    <w:rPr/>
  </w:style>
  <w:style w:type="paragraph" w:styleId="Heading7Para">
    <w:name w:val="Heading7Para"/>
    <w:basedOn w:val="BodyText"/>
    <w:next w:val="BodyText"/>
    <w:qFormat/>
    <w:pPr>
      <w:widowControl/>
      <w:ind w:firstLine="4320" w:start="0" w:end="0"/>
    </w:pPr>
    <w:rPr/>
  </w:style>
  <w:style w:type="paragraph" w:styleId="Heading8Para">
    <w:name w:val="Heading8Para"/>
    <w:basedOn w:val="BodyText"/>
    <w:next w:val="BodyText"/>
    <w:qFormat/>
    <w:pPr>
      <w:widowControl/>
      <w:ind w:firstLine="5040" w:start="0" w:end="0"/>
    </w:pPr>
    <w:rPr/>
  </w:style>
  <w:style w:type="paragraph" w:styleId="Heading9Para">
    <w:name w:val="Heading9Para"/>
    <w:basedOn w:val="BodyText"/>
    <w:next w:val="BodyText"/>
    <w:qFormat/>
    <w:pPr>
      <w:widowControl/>
      <w:ind w:firstLine="5760" w:start="0" w:end="0"/>
    </w:pPr>
    <w:rPr/>
  </w:style>
  <w:style w:type="paragraph" w:styleId="QuoteDoubleSpace">
    <w:name w:val="Quote Double Space"/>
    <w:basedOn w:val="Normal"/>
    <w:next w:val="BodyTextContinued"/>
    <w:qFormat/>
    <w:pPr>
      <w:widowControl w:val="false"/>
      <w:spacing w:lineRule="auto" w:line="480"/>
      <w:ind w:hanging="0" w:start="1440" w:end="1440"/>
    </w:pPr>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rPr>
  </w:style>
  <w:style w:type="paragraph" w:styleId="TableText">
    <w:name w:val="!Table Text"/>
    <w:basedOn w:val="Normal"/>
    <w:qFormat/>
    <w:pPr>
      <w:spacing w:before="120" w:after="0"/>
    </w:pPr>
    <w:rPr/>
  </w:style>
  <w:style w:type="paragraph" w:styleId="TableEnd">
    <w:name w:val="!Table End"/>
    <w:basedOn w:val="TableText"/>
    <w:qFormat/>
    <w:pPr>
      <w:spacing w:before="120" w:after="360"/>
    </w:pPr>
    <w:rPr/>
  </w:style>
  <w:style w:type="paragraph" w:styleId="TableTitle">
    <w:name w:val="!Table Title"/>
    <w:basedOn w:val="TableText"/>
    <w:qFormat/>
    <w:pPr>
      <w:keepNext w:val="true"/>
      <w:pBdr>
        <w:bottom w:val="single" w:sz="8" w:space="1" w:color="000000"/>
      </w:pBdr>
      <w:jc w:val="center"/>
    </w:pPr>
    <w:rPr>
      <w:b/>
    </w:rPr>
  </w:style>
  <w:style w:type="paragraph" w:styleId="TitleBAllCaps">
    <w:name w:val="!Title(B)All Caps"/>
    <w:basedOn w:val="TitleB"/>
    <w:qFormat/>
    <w:pPr/>
    <w:rPr>
      <w:caps/>
    </w:rPr>
  </w:style>
  <w:style w:type="paragraph" w:styleId="IndentedQuote">
    <w:name w:val="!Indented Quote"/>
    <w:basedOn w:val="Normal"/>
    <w:qFormat/>
    <w:pPr>
      <w:spacing w:before="0" w:after="240"/>
      <w:ind w:hanging="0" w:start="1440" w:end="1440"/>
    </w:pPr>
    <w:rPr/>
  </w:style>
  <w:style w:type="paragraph" w:styleId="ReLine">
    <w:name w:val="!Re Line"/>
    <w:basedOn w:val="Normal"/>
    <w:qFormat/>
    <w:pPr>
      <w:spacing w:before="0" w:after="240"/>
      <w:ind w:hanging="720" w:start="2160" w:end="2160"/>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1999-08-10T22:05:00Z</dcterms:created>
  <dc:creator>Holly Beale</dc:creator>
  <dc:description/>
  <dc:language>en-CA</dc:language>
  <cp:lastModifiedBy>MIS Department</cp:lastModifiedBy>
  <cp:lastPrinted>1999-08-10T12:38:00Z</cp:lastPrinted>
  <dcterms:modified xsi:type="dcterms:W3CDTF">1999-08-12T23:15:00Z</dcterms:modified>
  <cp:revision>9</cp:revision>
  <dc:subject/>
  <dc:title>Orrick Normal Template rev. 5/15/97, the Legal MacPac</dc:title>
</cp:coreProperties>
</file>