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48"/>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tabs>
          <w:tab w:val="clear" w:pos="720"/>
          <w:tab w:val="left" w:pos="7200" w:leader="none"/>
        </w:tabs>
        <w:jc w:val="end"/>
        <w:rPr>
          <w:sz w:val="18"/>
        </w:rPr>
      </w:pPr>
      <w:r>
        <w:rPr>
          <w:sz w:val="18"/>
        </w:rPr>
      </w:r>
    </w:p>
    <w:p>
      <w:pPr>
        <w:pStyle w:val="Normal"/>
        <w:tabs>
          <w:tab w:val="clear" w:pos="720"/>
          <w:tab w:val="left" w:pos="7200" w:leader="none"/>
        </w:tabs>
        <w:jc w:val="end"/>
        <w:rPr>
          <w:b/>
        </w:rPr>
      </w:pPr>
      <w:r>
        <w:rPr>
          <w:b/>
        </w:rPr>
        <w:t>PRIVILEGED ANDCONFIDENTIAL</w:t>
      </w:r>
    </w:p>
    <w:p>
      <w:pPr>
        <w:pStyle w:val="Normal"/>
        <w:tabs>
          <w:tab w:val="clear" w:pos="720"/>
          <w:tab w:val="left" w:pos="5490" w:leader="none"/>
        </w:tabs>
        <w:jc w:val="end"/>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tab/>
        <w:t>Mark Haedicke</w:t>
        <w:tab/>
      </w:r>
      <w:r>
        <w:rPr>
          <w:b/>
          <w:bCs/>
        </w:rPr>
        <w:t xml:space="preserve">DATE:  </w:t>
      </w:r>
      <w:r>
        <w:rPr/>
        <w:t>December 20, 2000</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tab/>
        <w:t>Lance Schuler</w:t>
      </w:r>
    </w:p>
    <w:p>
      <w:pPr>
        <w:pStyle w:val="Normal"/>
        <w:pBdr>
          <w:top w:val="single" w:sz="12" w:space="1" w:color="000000"/>
        </w:pBdr>
        <w:tabs>
          <w:tab w:val="clear" w:pos="720"/>
          <w:tab w:val="left" w:pos="1530" w:leader="none"/>
          <w:tab w:val="right" w:pos="9000" w:leader="none"/>
        </w:tabs>
        <w:spacing w:before="120" w:after="0"/>
        <w:ind w:end="-90"/>
        <w:rPr/>
      </w:pPr>
      <w:r>
        <w:rPr>
          <w:b/>
        </w:rPr>
        <w:t>FROM:</w:t>
      </w:r>
      <w:r>
        <w:rPr/>
        <w:tab/>
        <w:t>Angela D. Davis</w:t>
        <w:tab/>
      </w:r>
      <w:r>
        <w:rPr>
          <w:b/>
        </w:rPr>
        <w:t xml:space="preserve">DEPARTMENT:  </w:t>
      </w:r>
      <w:r>
        <w:rPr/>
        <w:t>ENA</w:t>
      </w:r>
      <w:r>
        <w:rPr>
          <w:b/>
        </w:rPr>
        <w:t xml:space="preserve"> </w:t>
      </w:r>
      <w:r>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rPr>
        <w:t>SUBJECT</w:t>
      </w:r>
      <w:r>
        <w:rPr/>
        <w:t>:</w:t>
        <w:tab/>
        <w:t>Custom Feeds, L.P. (the “Partnership”)</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rPr>
        <w:t>RISK FACTOR</w:t>
      </w:r>
      <w:r>
        <w:rPr/>
        <w:t>:  1</w:t>
      </w:r>
    </w:p>
    <w:p>
      <w:pPr>
        <w:pStyle w:val="Normal"/>
        <w:jc w:val="both"/>
        <w:rPr/>
      </w:pPr>
      <w:r>
        <w:rPr/>
      </w:r>
    </w:p>
    <w:p>
      <w:pPr>
        <w:pStyle w:val="Normal"/>
        <w:ind w:start="360" w:end="0"/>
        <w:jc w:val="both"/>
        <w:rPr/>
      </w:pPr>
      <w:r>
        <w:rPr/>
        <w:t>The Partnership is being organized for the purpose of operating a food reclamation plant.  Houston Economic Opportunity Fund II, L.P. (“HEOF”) will purchase a limited partnership interest in the Partnership, and agree to make capital contributions of up to $1,500,000 for a 80% limited partnership interest prior to payout, and a 50% limited partnership interest post payout.  Payout is deemed to occur when HEOF has received distributions equal to its capital contributions plus a 25% return thereon.  Concurrent with the closing of HEOF’s purchase of the limited partnership interest, the Partnership intends to obtain bank financing for $1,000,000.  The General Partner has disclosed to HEOF that it owes $150,000 in connection with the start up of a business which never occurred (the “Loan”).  The General Partner has agreed to indemnify the Partnership and HEOF against any claims with respect thereto.</w:t>
      </w:r>
    </w:p>
    <w:p>
      <w:pPr>
        <w:pStyle w:val="Normal"/>
        <w:ind w:start="360" w:end="0"/>
        <w:jc w:val="both"/>
        <w:rPr/>
      </w:pPr>
      <w:r>
        <w:rPr/>
      </w:r>
    </w:p>
    <w:p>
      <w:pPr>
        <w:pStyle w:val="Heading2"/>
        <w:rPr/>
      </w:pPr>
      <w:r>
        <w:rPr/>
        <w:t>RISKS</w:t>
      </w:r>
    </w:p>
    <w:p>
      <w:pPr>
        <w:pStyle w:val="Normal"/>
        <w:ind w:start="360" w:end="0"/>
        <w:jc w:val="both"/>
        <w:rPr/>
      </w:pPr>
      <w:r>
        <w:rPr/>
      </w:r>
    </w:p>
    <w:p>
      <w:pPr>
        <w:pStyle w:val="Normal"/>
        <w:numPr>
          <w:ilvl w:val="0"/>
          <w:numId w:val="3"/>
        </w:numPr>
        <w:jc w:val="both"/>
        <w:rPr/>
      </w:pPr>
      <w:r>
        <w:rPr/>
        <w:t>Although the general partner has agreed to indemnify the Partnership and HEOF with respect to the Loan, the indemnification could be of little value since the general partner’s net worth is not significant.</w:t>
      </w:r>
    </w:p>
    <w:p>
      <w:pPr>
        <w:pStyle w:val="Normal"/>
        <w:jc w:val="both"/>
        <w:rPr/>
      </w:pPr>
      <w:r>
        <w:rPr/>
      </w:r>
    </w:p>
    <w:p>
      <w:pPr>
        <w:pStyle w:val="BodyTextIndent3"/>
        <w:rPr/>
      </w:pPr>
      <w:r>
        <w:rPr/>
        <w:t>2.</w:t>
        <w:tab/>
        <w:t>Omni Bank and Houston Small Business Development Corporation (the “Lenders”) will each loan $1,000,000 to the Partnership and be secured by all of the assets of the Partnership.  Consequently, HEOF will be structurally subordinate to the Lenders with respect to the return of its capital contributions.</w:t>
      </w:r>
    </w:p>
    <w:p>
      <w:pPr>
        <w:pStyle w:val="Normal"/>
        <w:jc w:val="both"/>
        <w:rPr/>
      </w:pPr>
      <w:r>
        <w:rPr/>
      </w:r>
    </w:p>
    <w:p>
      <w:pPr>
        <w:pStyle w:val="Normal"/>
        <w:numPr>
          <w:ilvl w:val="0"/>
          <w:numId w:val="2"/>
        </w:numPr>
        <w:tabs>
          <w:tab w:val="clear" w:pos="720"/>
          <w:tab w:val="left" w:pos="1440" w:leader="none"/>
        </w:tabs>
        <w:ind w:hanging="720" w:start="1440" w:end="0"/>
        <w:jc w:val="both"/>
        <w:rPr/>
      </w:pPr>
      <w:r>
        <w:rPr/>
        <w:t>The other risks associated with this investment are those inherent to an investment in a limited partnership.</w:t>
      </w:r>
    </w:p>
    <w:p>
      <w:pPr>
        <w:pStyle w:val="Normal"/>
        <w:jc w:val="both"/>
        <w:rPr/>
      </w:pPr>
      <w:r>
        <w:rPr/>
      </w:r>
    </w:p>
    <w:p>
      <w:pPr>
        <w:pStyle w:val="Normal"/>
        <w:jc w:val="both"/>
        <w:rPr/>
      </w:pPr>
      <w:r>
        <w:rPr/>
        <w:t xml:space="preserve">cc:       </w:t>
        <w:tab/>
        <w:t>Barbara Paige</w:t>
      </w:r>
    </w:p>
    <w:p>
      <w:pPr>
        <w:pStyle w:val="Normal"/>
        <w:jc w:val="both"/>
        <w:rPr/>
      </w:pPr>
      <w:r>
        <w:rPr/>
        <w:tab/>
        <w:t>Marc Poulson</w:t>
      </w:r>
    </w:p>
    <w:sectPr>
      <w:headerReference w:type="default" r:id="rId3"/>
      <w:headerReference w:type="first" r:id="rId4"/>
      <w:footerReference w:type="default" r:id="rId5"/>
      <w:footerReference w:type="first" r:id="rId6"/>
      <w:type w:val="nextPage"/>
      <w:pgSz w:w="12240" w:h="15840"/>
      <w:pgMar w:left="1440" w:right="1440" w:gutter="0" w:header="576"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/mnt/main-storage/datasets/enron-docs/doc/customfeedriskmemob.doc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5580" w:leader="none"/>
      </w:tabs>
      <w:rPr>
        <w:sz w:val="20"/>
      </w:rPr>
    </w:pPr>
    <w:r>
      <w:rPr>
        <w:sz w:val="20"/>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8923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189230" cy="20955"/>
                      </a:xfrm>
                      <a:prstGeom prst="rect"/>
                      <a:solidFill>
                        <a:srgbClr val="FFFFFF">
                          <a:alpha val="0"/>
                        </a:srgbClr>
                      </a:solidFill>
                    </wps:spPr>
                    <wps:txbx>
                      <w:txbxContent>
                        <w:p>
                          <w:pPr>
                            <w:pStyle w:val="Head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4.9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xbxContent>
              </v:textbox>
              <w10:wrap type="square"/>
            </v:rect>
          </w:pict>
        </mc:Fallback>
      </mc:AlternateContent>
    </w:r>
  </w:p>
  <w:p>
    <w:pPr>
      <w:pStyle w:val="Header"/>
      <w:tabs>
        <w:tab w:val="clear" w:pos="8640"/>
        <w:tab w:val="center" w:pos="4320" w:leader="none"/>
        <w:tab w:val="right" w:pos="5580" w:leader="none"/>
      </w:tabs>
      <w:rPr>
        <w:sz w:val="20"/>
      </w:rPr>
    </w:pPr>
    <w:r>
      <w:rPr>
        <w:sz w:val="20"/>
      </w:rPr>
    </w:r>
  </w:p>
  <w:p>
    <w:pPr>
      <w:pStyle w:val="Header"/>
      <w:tabs>
        <w:tab w:val="clear" w:pos="8640"/>
        <w:tab w:val="center" w:pos="4320" w:leader="none"/>
        <w:tab w:val="right" w:pos="5580" w:leader="none"/>
      </w:tabs>
      <w:rPr/>
    </w:pPr>
    <w:r>
      <w:rPr/>
    </w:r>
  </w:p>
  <w:p>
    <w:pPr>
      <w:pStyle w:val="Header"/>
      <w:tabs>
        <w:tab w:val="clear" w:pos="8640"/>
        <w:tab w:val="center" w:pos="4320" w:leader="none"/>
        <w:tab w:val="right" w:pos="55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500"/>
        </w:tabs>
        <w:ind w:start="1500" w:hanging="7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Indent2">
    <w:name w:val="Body Text Indent 2"/>
    <w:basedOn w:val="Normal"/>
    <w:qFormat/>
    <w:pPr>
      <w:ind w:hanging="0" w:start="360" w:end="0"/>
      <w:jc w:val="both"/>
    </w:pPr>
    <w:rPr>
      <w:b/>
      <w:bCs/>
      <w:i/>
      <w:iCs/>
    </w:rPr>
  </w:style>
  <w:style w:type="paragraph" w:styleId="BodyTextIndent3">
    <w:name w:val="Body Text Indent 3"/>
    <w:basedOn w:val="Normal"/>
    <w:qFormat/>
    <w:pPr>
      <w:ind w:hanging="810" w:start="1530" w:end="0"/>
      <w:jc w:val="both"/>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2000-12-20T14:08:00Z</dcterms:created>
  <dc:creator>ECT</dc:creator>
  <dc:description/>
  <dc:language>en-CA</dc:language>
  <cp:lastModifiedBy>adavis4</cp:lastModifiedBy>
  <cp:lastPrinted>2000-12-20T10:46:00Z</cp:lastPrinted>
  <dcterms:modified xsi:type="dcterms:W3CDTF">2000-12-20T14:17:00Z</dcterms:modified>
  <cp:revision>3</cp:revision>
  <dc:subject/>
  <dc:title> 	</dc:title>
</cp:coreProperties>
</file>