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8"/>
        </w:rPr>
      </w:pPr>
      <w:r>
        <w:rPr>
          <w:sz w:val="28"/>
        </w:rPr>
        <w:t>Alliant</w:t>
      </w:r>
    </w:p>
    <w:p>
      <w:pPr>
        <w:pStyle w:val="Normal"/>
        <w:rPr>
          <w:sz w:val="28"/>
        </w:rPr>
      </w:pPr>
      <w:r>
        <w:rPr>
          <w:sz w:val="28"/>
        </w:rPr>
      </w:r>
    </w:p>
    <w:p>
      <w:pPr>
        <w:pStyle w:val="Normal"/>
        <w:rPr/>
      </w:pPr>
      <w:r>
        <w:rPr>
          <w:b/>
        </w:rPr>
        <w:t>Location</w:t>
      </w:r>
      <w:r>
        <w:rPr/>
        <w:t>:  Madison, Wisconsin</w:t>
      </w:r>
    </w:p>
    <w:p>
      <w:pPr>
        <w:pStyle w:val="Normal"/>
        <w:rPr/>
      </w:pPr>
      <w:r>
        <w:rPr>
          <w:b/>
        </w:rPr>
        <w:t>Affiliate Companies</w:t>
      </w:r>
      <w:r>
        <w:rPr/>
        <w:t xml:space="preserve">: IES Utilities Inc., Interstate Power Co., Wisconsin Power and Light Co. They have outsourced IES gas supply, which is all in the state of Iowa. </w:t>
      </w:r>
    </w:p>
    <w:p>
      <w:pPr>
        <w:pStyle w:val="Normal"/>
        <w:rPr/>
      </w:pPr>
      <w:r>
        <w:rPr/>
      </w:r>
    </w:p>
    <w:p>
      <w:pPr>
        <w:pStyle w:val="Normal"/>
        <w:rPr/>
      </w:pPr>
      <w:r>
        <w:rPr/>
        <w:t>Alliant Energy serves more than 1.3 million customers in Iowa, Illinois, Minnesota and Wisconsin.</w:t>
      </w:r>
    </w:p>
    <w:p>
      <w:pPr>
        <w:pStyle w:val="Normal"/>
        <w:rPr/>
      </w:pPr>
      <w:r>
        <w:rPr/>
      </w:r>
    </w:p>
    <w:p>
      <w:pPr>
        <w:pStyle w:val="Normal"/>
        <w:rPr/>
      </w:pPr>
      <w:r>
        <w:rPr/>
      </w:r>
    </w:p>
    <w:tbl>
      <w:tblPr>
        <w:tblW w:w="4230" w:type="dxa"/>
        <w:jc w:val="start"/>
        <w:tblInd w:w="288" w:type="dxa"/>
        <w:tblLayout w:type="fixed"/>
        <w:tblCellMar>
          <w:top w:w="0" w:type="dxa"/>
          <w:start w:w="108" w:type="dxa"/>
          <w:bottom w:w="0" w:type="dxa"/>
          <w:end w:w="108" w:type="dxa"/>
        </w:tblCellMar>
      </w:tblPr>
      <w:tblGrid>
        <w:gridCol w:w="2880"/>
        <w:gridCol w:w="1350"/>
      </w:tblGrid>
      <w:tr>
        <w:trPr/>
        <w:tc>
          <w:tcPr>
            <w:tcW w:w="2880"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Combine Annual Throughput</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102Bcf</w:t>
            </w:r>
          </w:p>
        </w:tc>
      </w:tr>
      <w:tr>
        <w:trPr/>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v. Benchmark</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Annual Sales</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Bcf/%</w:t>
            </w:r>
          </w:p>
        </w:tc>
      </w:tr>
      <w:tr>
        <w:trPr/>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Annual Transport</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Bcf/%</w:t>
            </w:r>
          </w:p>
        </w:tc>
      </w:tr>
    </w:tbl>
    <w:p>
      <w:pPr>
        <w:pStyle w:val="Normal"/>
        <w:rPr/>
      </w:pPr>
      <w:r>
        <w:rPr/>
      </w:r>
    </w:p>
    <w:tbl>
      <w:tblPr>
        <w:tblW w:w="4356" w:type="dxa"/>
        <w:jc w:val="start"/>
        <w:tblInd w:w="288" w:type="dxa"/>
        <w:tblLayout w:type="fixed"/>
        <w:tblCellMar>
          <w:top w:w="0" w:type="dxa"/>
          <w:start w:w="108" w:type="dxa"/>
          <w:bottom w:w="0" w:type="dxa"/>
          <w:end w:w="108" w:type="dxa"/>
        </w:tblCellMar>
      </w:tblPr>
      <w:tblGrid>
        <w:gridCol w:w="1458"/>
        <w:gridCol w:w="1458"/>
        <w:gridCol w:w="1440"/>
      </w:tblGrid>
      <w:tr>
        <w:trPr/>
        <w:tc>
          <w:tcPr>
            <w:tcW w:w="145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 of Customers</w:t>
            </w:r>
          </w:p>
        </w:tc>
        <w:tc>
          <w:tcPr>
            <w:tcW w:w="1440" w:type="dxa"/>
            <w:tcBorders>
              <w:top w:val="single" w:sz="4" w:space="0" w:color="000000"/>
              <w:start w:val="single" w:sz="4" w:space="0" w:color="000000"/>
              <w:bottom w:val="single" w:sz="4" w:space="0" w:color="000000"/>
              <w:end w:val="single" w:sz="4" w:space="0" w:color="000000"/>
            </w:tcBorders>
          </w:tcPr>
          <w:p>
            <w:pPr>
              <w:pStyle w:val="Normal"/>
              <w:rPr/>
            </w:pPr>
            <w:r>
              <w:rPr/>
              <w:t>Bcf/%</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Residential</w:t>
            </w:r>
          </w:p>
        </w:tc>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1.6 million</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Commercial</w:t>
            </w:r>
          </w:p>
        </w:tc>
        <w:tc>
          <w:tcPr>
            <w:tcW w:w="145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Industrial</w:t>
            </w:r>
          </w:p>
        </w:tc>
        <w:tc>
          <w:tcPr>
            <w:tcW w:w="1458"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t xml:space="preserve">    </w:t>
      </w:r>
    </w:p>
    <w:p>
      <w:pPr>
        <w:pStyle w:val="Normal"/>
        <w:rPr/>
      </w:pPr>
      <w:r>
        <w:rPr>
          <w:b/>
        </w:rPr>
        <w:t>Peak Day</w:t>
      </w:r>
      <w:r>
        <w:rPr/>
        <w:t>: 260,000 WP&amp;L, 80,000 Interstate, 350,000 IES</w:t>
      </w:r>
    </w:p>
    <w:p>
      <w:pPr>
        <w:pStyle w:val="Normal"/>
        <w:rPr/>
      </w:pPr>
      <w:r>
        <w:rPr/>
      </w:r>
    </w:p>
    <w:p>
      <w:pPr>
        <w:pStyle w:val="Normal"/>
        <w:rPr/>
      </w:pPr>
      <w:r>
        <w:rPr>
          <w:b/>
        </w:rPr>
        <w:t>Baseload</w:t>
      </w:r>
      <w:r>
        <w:rPr/>
        <w:t>:</w:t>
      </w:r>
    </w:p>
    <w:p>
      <w:pPr>
        <w:pStyle w:val="Normal"/>
        <w:rPr/>
      </w:pPr>
      <w:r>
        <w:rPr/>
      </w:r>
    </w:p>
    <w:p>
      <w:pPr>
        <w:pStyle w:val="Normal"/>
        <w:ind w:hanging="720" w:start="720" w:end="0"/>
        <w:rPr/>
      </w:pPr>
      <w:r>
        <w:rPr>
          <w:b/>
        </w:rPr>
        <w:t xml:space="preserve">Load per HDD: </w:t>
      </w:r>
      <w:r>
        <w:rPr/>
        <w:t>2,800 WP&amp;L</w:t>
      </w:r>
    </w:p>
    <w:p>
      <w:pPr>
        <w:pStyle w:val="Normal"/>
        <w:rPr/>
      </w:pPr>
      <w:r>
        <w:rPr/>
      </w:r>
    </w:p>
    <w:p>
      <w:pPr>
        <w:pStyle w:val="Normal"/>
        <w:ind w:hanging="720" w:start="720" w:end="0"/>
        <w:rPr/>
      </w:pPr>
      <w:r>
        <w:rPr>
          <w:b/>
        </w:rPr>
        <w:t>Load Growth</w:t>
      </w:r>
      <w:r>
        <w:rPr/>
        <w:t>: 2%</w:t>
      </w:r>
    </w:p>
    <w:p>
      <w:pPr>
        <w:pStyle w:val="Normal"/>
        <w:rPr/>
      </w:pPr>
      <w:r>
        <w:rPr/>
      </w:r>
    </w:p>
    <w:p>
      <w:pPr>
        <w:pStyle w:val="Normal"/>
        <w:ind w:hanging="720" w:start="720" w:end="0"/>
        <w:rPr/>
      </w:pPr>
      <w:r>
        <w:rPr>
          <w:b/>
        </w:rPr>
        <w:t>Transportation &amp; Migration</w:t>
      </w:r>
      <w:r>
        <w:rPr/>
        <w:t xml:space="preserve">:   </w:t>
      </w:r>
    </w:p>
    <w:p>
      <w:pPr>
        <w:pStyle w:val="Normal"/>
        <w:rPr/>
      </w:pPr>
      <w:r>
        <w:rPr/>
      </w:r>
    </w:p>
    <w:p>
      <w:pPr>
        <w:pStyle w:val="Normal"/>
        <w:ind w:hanging="720" w:start="720" w:end="0"/>
        <w:rPr/>
      </w:pPr>
      <w:r>
        <w:rPr>
          <w:b/>
        </w:rPr>
        <w:t xml:space="preserve">Incentive Mechanism: </w:t>
      </w:r>
      <w:r>
        <w:rPr/>
        <w:t xml:space="preserve"> </w:t>
      </w:r>
    </w:p>
    <w:p>
      <w:pPr>
        <w:pStyle w:val="Normal"/>
        <w:ind w:hanging="720" w:start="720" w:end="0"/>
        <w:rPr/>
      </w:pPr>
      <w:r>
        <w:rPr>
          <w:b/>
        </w:rPr>
        <w:t>State of Iowa</w:t>
      </w:r>
      <w:r>
        <w:rPr/>
        <w:t>: 50% of excess off system sales is shared with the shareholders/customers</w:t>
      </w:r>
    </w:p>
    <w:p>
      <w:pPr>
        <w:pStyle w:val="Normal"/>
        <w:ind w:hanging="720" w:start="720" w:end="0"/>
        <w:rPr/>
      </w:pPr>
      <w:r>
        <w:rPr/>
        <w:tab/>
        <w:t xml:space="preserve">          30% of excess capacity releases is shared with the shareholders/customers</w:t>
      </w:r>
    </w:p>
    <w:p>
      <w:pPr>
        <w:pStyle w:val="Normal"/>
        <w:ind w:hanging="720" w:start="720" w:end="0"/>
        <w:rPr>
          <w:b/>
        </w:rPr>
      </w:pPr>
      <w:r>
        <w:rPr>
          <w:b/>
        </w:rPr>
      </w:r>
    </w:p>
    <w:p>
      <w:pPr>
        <w:pStyle w:val="Normal"/>
        <w:ind w:hanging="720" w:start="720" w:end="0"/>
        <w:rPr/>
      </w:pPr>
      <w:r>
        <w:rPr>
          <w:b/>
        </w:rPr>
        <w:t xml:space="preserve">State of Wisconsin: </w:t>
      </w:r>
      <w:r>
        <w:rPr/>
        <w:t>The incentive mechanism has the following components commodity tracking mechanism, specific cost adders, inclusion of carry costs of storage, and an incentive sharing mechanism which limited the maximum amount of the incentive.</w:t>
      </w:r>
    </w:p>
    <w:p>
      <w:pPr>
        <w:pStyle w:val="Normal"/>
        <w:ind w:start="720" w:end="0"/>
        <w:rPr>
          <w:b/>
        </w:rPr>
      </w:pPr>
      <w:r>
        <w:rPr>
          <w:b/>
        </w:rPr>
        <w:t xml:space="preserve">Commodity price – </w:t>
      </w:r>
      <w:r>
        <w:rPr/>
        <w:t xml:space="preserve">established each month would be based on a weighted average of commodity spot prices at three delivery points as reported Inside FERC.  The delivery points would be Ventura, ANR-SE, and ANR-SW.  </w:t>
      </w:r>
    </w:p>
    <w:p>
      <w:pPr>
        <w:pStyle w:val="BodyTextIndent"/>
        <w:ind w:hanging="0" w:end="0"/>
        <w:rPr/>
      </w:pPr>
      <w:r>
        <w:rPr/>
        <w:t>Three specific cost adders would be a pipeline fixed cost adder, a miscellaneous cost adder, and a flow-through adder.  Pipeline fixed cost would include the carrying cost of storage and pipeline costs. The miscellaneous cost adder would be fixed at $.25 per dekatherm and would include reliability premiums paid to producers, pipeline and storage variable cost.  Flow-through adder would afford automatic recovery such as take or pay costs, transition costs GRI, ACA cost.</w:t>
      </w:r>
    </w:p>
    <w:p>
      <w:pPr>
        <w:pStyle w:val="BodyTextIndent"/>
        <w:rPr/>
      </w:pPr>
      <w:r>
        <w:rPr/>
      </w:r>
    </w:p>
    <w:p>
      <w:pPr>
        <w:pStyle w:val="BodyTextIndent"/>
        <w:ind w:hanging="0" w:end="0"/>
        <w:rPr>
          <w:b/>
        </w:rPr>
      </w:pPr>
      <w:r>
        <w:rPr>
          <w:b/>
        </w:rPr>
        <w:t xml:space="preserve">Incentive sharing – </w:t>
      </w:r>
      <w:r>
        <w:rPr/>
        <w:t>60% to customers and 40% to shareholders</w:t>
      </w:r>
    </w:p>
    <w:p>
      <w:pPr>
        <w:pStyle w:val="Normal"/>
        <w:ind w:hanging="720" w:start="720" w:end="0"/>
        <w:rPr>
          <w:b/>
        </w:rPr>
      </w:pPr>
      <w:r>
        <w:rPr>
          <w:b/>
        </w:rPr>
      </w:r>
    </w:p>
    <w:p>
      <w:pPr>
        <w:pStyle w:val="Normal"/>
        <w:ind w:hanging="720" w:start="720" w:end="0"/>
        <w:rPr>
          <w:b/>
        </w:rPr>
      </w:pPr>
      <w:r>
        <w:rPr>
          <w:b/>
        </w:rPr>
      </w:r>
    </w:p>
    <w:p>
      <w:pPr>
        <w:pStyle w:val="Heading3"/>
        <w:rPr/>
      </w:pPr>
      <w:r>
        <w:rPr/>
        <w:t>Assets</w:t>
      </w:r>
    </w:p>
    <w:p>
      <w:pPr>
        <w:pStyle w:val="Normal"/>
        <w:rPr/>
      </w:pPr>
      <w:r>
        <w:rPr>
          <w:b/>
        </w:rPr>
        <w:t xml:space="preserve"> </w:t>
      </w:r>
      <w:r>
        <w:rPr>
          <w:b/>
        </w:rPr>
        <w:t>Interstate Gas Transport</w:t>
      </w:r>
      <w:r>
        <w:rPr/>
        <w:t>:</w:t>
      </w:r>
    </w:p>
    <w:tbl>
      <w:tblPr>
        <w:tblW w:w="4158" w:type="dxa"/>
        <w:jc w:val="start"/>
        <w:tblInd w:w="378" w:type="dxa"/>
        <w:tblLayout w:type="fixed"/>
        <w:tblCellMar>
          <w:top w:w="0" w:type="dxa"/>
          <w:start w:w="108" w:type="dxa"/>
          <w:bottom w:w="0" w:type="dxa"/>
          <w:end w:w="108" w:type="dxa"/>
        </w:tblCellMar>
      </w:tblPr>
      <w:tblGrid>
        <w:gridCol w:w="1908"/>
        <w:gridCol w:w="1080"/>
        <w:gridCol w:w="1170"/>
      </w:tblGrid>
      <w:tr>
        <w:trPr/>
        <w:tc>
          <w:tcPr>
            <w:tcW w:w="1908" w:type="dxa"/>
            <w:tcBorders>
              <w:top w:val="single" w:sz="4" w:space="0" w:color="000000"/>
              <w:start w:val="single" w:sz="4" w:space="0" w:color="000000"/>
              <w:bottom w:val="single" w:sz="4" w:space="0" w:color="000000"/>
              <w:end w:val="single" w:sz="4" w:space="0" w:color="000000"/>
            </w:tcBorders>
          </w:tcPr>
          <w:p>
            <w:pPr>
              <w:pStyle w:val="Normal"/>
              <w:rPr/>
            </w:pPr>
            <w:r>
              <w:rPr/>
              <w:t>NNG-Market</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62,000</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pPr>
            <w:r>
              <w:rPr/>
              <w:t>*NGPL</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30,000</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t>* interconnects at prophestown NB/NGPL</w:t>
      </w:r>
    </w:p>
    <w:p>
      <w:pPr>
        <w:pStyle w:val="Normal"/>
        <w:rPr/>
      </w:pPr>
      <w:r>
        <w:rPr/>
      </w:r>
    </w:p>
    <w:p>
      <w:pPr>
        <w:pStyle w:val="Normal"/>
        <w:rPr>
          <w:b/>
        </w:rPr>
      </w:pPr>
      <w:r>
        <w:rPr>
          <w:b/>
        </w:rPr>
        <w:t>Storage:</w:t>
      </w:r>
    </w:p>
    <w:p>
      <w:pPr>
        <w:pStyle w:val="Normal"/>
        <w:rPr/>
      </w:pPr>
      <w:r>
        <w:rPr/>
        <w:t xml:space="preserve">864,828 of FDD with 15,000/day of deliverability, 500,000 of DSS with 10,000 of deliverability </w:t>
      </w:r>
    </w:p>
    <w:p>
      <w:pPr>
        <w:pStyle w:val="Normal"/>
        <w:rPr/>
      </w:pPr>
      <w:r>
        <w:rPr/>
      </w:r>
    </w:p>
    <w:p>
      <w:pPr>
        <w:pStyle w:val="Normal"/>
        <w:rPr/>
      </w:pPr>
      <w:r>
        <w:rPr/>
        <w:t>Industrials behind the gate: ADM, PCS-Nitrogen (out of business)</w:t>
      </w:r>
    </w:p>
    <w:p>
      <w:pPr>
        <w:pStyle w:val="Normal"/>
        <w:rPr/>
      </w:pPr>
      <w:r>
        <w:rPr/>
      </w:r>
    </w:p>
    <w:p>
      <w:pPr>
        <w:pStyle w:val="Normal"/>
        <w:rPr/>
      </w:pPr>
      <w:r>
        <w:rPr/>
      </w:r>
    </w:p>
    <w:p>
      <w:pPr>
        <w:pStyle w:val="Normal"/>
        <w:rPr/>
      </w:pPr>
      <w:r>
        <w:rPr/>
      </w:r>
    </w:p>
    <w:p>
      <w:pPr>
        <w:pStyle w:val="Normal"/>
        <w:rPr/>
      </w:pPr>
      <w:r>
        <w:rPr>
          <w:b/>
        </w:rPr>
        <w:t>Wisconsin Power &amp; Light Gas Transport</w:t>
      </w:r>
      <w:r>
        <w:rPr/>
        <w:t>:</w:t>
      </w:r>
    </w:p>
    <w:p>
      <w:pPr>
        <w:pStyle w:val="Normal"/>
        <w:rPr/>
      </w:pPr>
      <w:r>
        <w:rPr/>
      </w:r>
    </w:p>
    <w:tbl>
      <w:tblPr>
        <w:tblW w:w="4410" w:type="dxa"/>
        <w:jc w:val="start"/>
        <w:tblInd w:w="378" w:type="dxa"/>
        <w:tblLayout w:type="fixed"/>
        <w:tblCellMar>
          <w:top w:w="0" w:type="dxa"/>
          <w:start w:w="108" w:type="dxa"/>
          <w:bottom w:w="0" w:type="dxa"/>
          <w:end w:w="108" w:type="dxa"/>
        </w:tblCellMar>
      </w:tblPr>
      <w:tblGrid>
        <w:gridCol w:w="2160"/>
        <w:gridCol w:w="1080"/>
        <w:gridCol w:w="1170"/>
      </w:tblGrid>
      <w:tr>
        <w:trPr/>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NNG-Market</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75,000</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ANR-SW</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21,000</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ANR-SE</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14,000</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Viking</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3,000</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Normal"/>
        <w:rPr>
          <w:b/>
        </w:rPr>
      </w:pPr>
      <w:r>
        <w:rPr>
          <w:b/>
        </w:rPr>
        <w:t>Storage:</w:t>
      </w:r>
    </w:p>
    <w:p>
      <w:pPr>
        <w:pStyle w:val="Normal"/>
        <w:rPr/>
      </w:pPr>
      <w:r>
        <w:rPr/>
        <w:t>6 BCF of ANR Storage with 85,000 deliverability.  500,000 of NNG-FDD 8,672 of deliverability</w:t>
      </w:r>
    </w:p>
    <w:p>
      <w:pPr>
        <w:pStyle w:val="Normal"/>
        <w:rPr/>
      </w:pPr>
      <w:r>
        <w:rPr/>
      </w:r>
    </w:p>
    <w:p>
      <w:pPr>
        <w:pStyle w:val="Normal"/>
        <w:rPr/>
      </w:pPr>
      <w:r>
        <w:rPr/>
      </w:r>
    </w:p>
    <w:p>
      <w:pPr>
        <w:pStyle w:val="Normal"/>
        <w:rPr/>
      </w:pPr>
      <w:r>
        <w:rPr>
          <w:b/>
        </w:rPr>
        <w:t xml:space="preserve">Purchase points: </w:t>
      </w:r>
      <w:r>
        <w:rPr/>
        <w:t>Demarcation, Ventura, Carlton, ANR-SW, ANR-SE, Emerson</w:t>
      </w:r>
    </w:p>
    <w:p>
      <w:pPr>
        <w:pStyle w:val="Normal"/>
        <w:rPr/>
      </w:pPr>
      <w:r>
        <w:rPr/>
      </w:r>
    </w:p>
    <w:p>
      <w:pPr>
        <w:pStyle w:val="Heading2"/>
        <w:ind w:hanging="0" w:start="0"/>
        <w:rPr/>
      </w:pPr>
      <w:r>
        <w:rPr/>
        <w:t xml:space="preserve">Industrials behind the gate: </w:t>
      </w:r>
      <w:r>
        <w:rPr>
          <w:b w:val="false"/>
        </w:rPr>
        <w:t>GM</w:t>
      </w:r>
    </w:p>
    <w:p>
      <w:pPr>
        <w:pStyle w:val="Normal"/>
        <w:rPr>
          <w:b/>
        </w:rPr>
      </w:pPr>
      <w:r>
        <w:rPr>
          <w:b/>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ind w:hanging="720" w:start="720" w:end="0"/>
      <w:outlineLvl w:val="2"/>
    </w:pPr>
    <w:rPr>
      <w:b/>
    </w:rPr>
  </w:style>
  <w:style w:type="paragraph" w:styleId="Heading4">
    <w:name w:val="heading 4"/>
    <w:basedOn w:val="Normal"/>
    <w:next w:val="Normal"/>
    <w:qFormat/>
    <w:pPr>
      <w:keepNext w:val="true"/>
      <w:numPr>
        <w:ilvl w:val="3"/>
        <w:numId w:val="1"/>
      </w:numPr>
      <w:outlineLvl w:val="3"/>
    </w:pPr>
    <w:rPr>
      <w:i/>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2000-11-20T16:32:00Z</dcterms:created>
  <dc:creator>dmccaff</dc:creator>
  <dc:description/>
  <dc:language>en-CA</dc:language>
  <cp:lastModifiedBy>dmccaff</cp:lastModifiedBy>
  <cp:lastPrinted>2000-11-20T15:49:00Z</cp:lastPrinted>
  <dcterms:modified xsi:type="dcterms:W3CDTF">2000-11-20T20:30:00Z</dcterms:modified>
  <cp:revision>9</cp:revision>
  <dc:subject/>
  <dc:title>Template</dc:title>
</cp:coreProperties>
</file>