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tabs>
          <w:tab w:val="clear" w:pos="720"/>
          <w:tab w:val="left" w:pos="-720" w:leader="none"/>
        </w:tabs>
        <w:suppressAutoHyphens w:val="true"/>
        <w:jc w:val="center"/>
        <w:rPr>
          <w:rFonts w:ascii="Times New Roman" w:hAnsi="Times New Roman" w:cs="Times New Roman"/>
          <w:b/>
          <w:spacing w:val="-2"/>
          <w:sz w:val="22"/>
        </w:rPr>
      </w:pPr>
      <w:r>
        <w:rPr>
          <w:rFonts w:cs="Times New Roman" w:ascii="Times New Roman" w:hAnsi="Times New Roman"/>
          <w:b/>
          <w:spacing w:val="-2"/>
          <w:sz w:val="22"/>
        </w:rPr>
        <w:t>July 28, 2000</w:t>
      </w:r>
    </w:p>
    <w:p>
      <w:pPr>
        <w:pStyle w:val="Normal"/>
        <w:tabs>
          <w:tab w:val="clear" w:pos="720"/>
          <w:tab w:val="center" w:pos="4680" w:leader="none"/>
        </w:tabs>
        <w:suppressAutoHyphens w:val="true"/>
        <w:jc w:val="both"/>
        <w:rPr>
          <w:rFonts w:ascii="Times New Roman" w:hAnsi="Times New Roman" w:cs="Times New Roman"/>
          <w:b/>
          <w:spacing w:val="-2"/>
          <w:sz w:val="22"/>
        </w:rPr>
      </w:pPr>
      <w:r>
        <w:rPr>
          <w:rFonts w:cs="Times New Roman" w:ascii="Times New Roman" w:hAnsi="Times New Roman"/>
          <w:b/>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July [   ], 2000</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 xml:space="preserve">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Overseas Private Investment Corporation</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1100 New York Avenue, N.W.</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Washington, D.C.  20527</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Attention:  Vice President of Finance</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EPE-EMPRESA PRODUTORA DE ENERGIA LTDA.,</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GAS ORIENTE BOLIVIANO LTDA.,</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and GASOCIDENTE DO MATO GROSSO LTDA.,</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c/o Enron South America</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333 Clay Street Suite 2009</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Houston, TX 77009</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360" w:leader="none"/>
          <w:tab w:val="left" w:pos="720" w:leader="none"/>
          <w:tab w:val="left" w:pos="108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Attention:</w:t>
        <w:tab/>
        <w:t>Mr Rob Gay, Chief Financial Officer</w:t>
      </w:r>
    </w:p>
    <w:p>
      <w:pPr>
        <w:pStyle w:val="Heading4"/>
        <w:ind w:hanging="0" w:start="0"/>
        <w:rPr/>
      </w:pPr>
      <w:r>
        <w:rPr/>
        <w:t>Facsimile:  (713) 345-6003</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center" w:pos="4680" w:leader="none"/>
        </w:tabs>
        <w:suppressAutoHyphens w:val="true"/>
        <w:jc w:val="both"/>
        <w:rPr/>
      </w:pPr>
      <w:r>
        <w:rPr>
          <w:rFonts w:cs="Times New Roman" w:ascii="Times New Roman" w:hAnsi="Times New Roman"/>
          <w:spacing w:val="-2"/>
          <w:sz w:val="22"/>
        </w:rPr>
        <w:tab/>
      </w:r>
      <w:r>
        <w:rPr>
          <w:rFonts w:cs="Times New Roman" w:ascii="Times New Roman" w:hAnsi="Times New Roman"/>
          <w:spacing w:val="-2"/>
          <w:sz w:val="22"/>
          <w:u w:val="single"/>
        </w:rPr>
        <w:t>Purchase Arrangement for OPIC Loan</w:t>
      </w:r>
      <w:r>
        <w:rPr>
          <w:rFonts w:cs="Times New Roman" w:ascii="Times New Roman" w:hAnsi="Times New Roman"/>
          <w:spacing w:val="-2"/>
          <w:sz w:val="22"/>
        </w:rPr>
        <w:t xml:space="preserve">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Dear Sirs: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pPr>
      <w:r>
        <w:rPr>
          <w:rFonts w:cs="Times New Roman" w:ascii="Times New Roman" w:hAnsi="Times New Roman"/>
          <w:spacing w:val="-2"/>
          <w:sz w:val="22"/>
        </w:rPr>
        <w:t>You have advised us that</w:t>
      </w:r>
      <w:r>
        <w:rPr/>
        <w:t xml:space="preserve"> </w:t>
      </w:r>
      <w:r>
        <w:rPr>
          <w:rFonts w:cs="Times New Roman" w:ascii="Times New Roman" w:hAnsi="Times New Roman"/>
          <w:sz w:val="22"/>
        </w:rPr>
        <w:t>EPE-EMPRESA PRODUTORA DE ENERGIA LTDA., (</w:t>
      </w:r>
      <w:r>
        <w:rPr>
          <w:rFonts w:cs="Times New Roman" w:ascii="Times New Roman" w:hAnsi="Times New Roman"/>
          <w:b/>
          <w:i/>
          <w:sz w:val="22"/>
        </w:rPr>
        <w:t>EPE</w:t>
      </w:r>
      <w:r>
        <w:rPr>
          <w:rFonts w:cs="Times New Roman" w:ascii="Times New Roman" w:hAnsi="Times New Roman"/>
          <w:sz w:val="22"/>
        </w:rPr>
        <w:t>), GAS ORIENTE BOLIVIANO LTDA., (</w:t>
      </w:r>
      <w:r>
        <w:rPr>
          <w:rFonts w:cs="Times New Roman" w:ascii="Times New Roman" w:hAnsi="Times New Roman"/>
          <w:b/>
          <w:i/>
          <w:sz w:val="22"/>
        </w:rPr>
        <w:t>GasBol</w:t>
      </w:r>
      <w:r>
        <w:rPr>
          <w:rFonts w:cs="Times New Roman" w:ascii="Times New Roman" w:hAnsi="Times New Roman"/>
          <w:sz w:val="22"/>
        </w:rPr>
        <w:t>), and GASOCIDENTE DO MATO GROSSO LTDA., (</w:t>
      </w:r>
      <w:r>
        <w:rPr>
          <w:rFonts w:cs="Times New Roman" w:ascii="Times New Roman" w:hAnsi="Times New Roman"/>
          <w:b/>
          <w:i/>
          <w:sz w:val="22"/>
        </w:rPr>
        <w:t>GasMat)</w:t>
      </w:r>
      <w:r>
        <w:rPr>
          <w:rFonts w:cs="Times New Roman" w:ascii="Times New Roman" w:hAnsi="Times New Roman"/>
          <w:sz w:val="22"/>
        </w:rPr>
        <w:t>, (collectively, the "Companies" or the “Borrowers”)</w:t>
      </w:r>
      <w:r>
        <w:rPr/>
        <w:t xml:space="preserve"> </w:t>
      </w:r>
      <w:r>
        <w:rPr>
          <w:rFonts w:cs="Times New Roman" w:ascii="Times New Roman" w:hAnsi="Times New Roman"/>
          <w:spacing w:val="-2"/>
          <w:sz w:val="22"/>
        </w:rPr>
        <w:t xml:space="preserve">desire that Citibank (as such term is hereinafter defined) commit to purchase, or to arrange for the purchase of, participation interests from the Overseas Private Investment Corporation (“OPIC”) in certain loans to be made to the Companies by OPIC. Such participation interest in such OPIC loans shall equal the aggregate principal amount of $200,000,000 and shall be sold at a price of 100% of the principal amount of such participation interest.  Such OPIC loans are in support of a project </w:t>
      </w:r>
      <w:r>
        <w:rPr>
          <w:rFonts w:cs="Times New Roman" w:ascii="Times New Roman" w:hAnsi="Times New Roman"/>
          <w:sz w:val="22"/>
        </w:rPr>
        <w:t>to build own and operate: 1) a 480MW gas-fired combined cycle electricity generating station and related transmission lines to be located in Cuiaba, Mato Grosso State, Brazil; 2) a 369 kilometer 18-inch diameter pipeline from Rio San Miguel, Bolivia to the Bolivia-Brazil border at San Matias Brazil; and 3) a 257 kilometer 18-inch diameter pipeline from the border at San Matias, Brazil to the generating station at Cuiaba, Brazil (the “Project”).</w:t>
      </w:r>
      <w:r>
        <w:rPr>
          <w:rFonts w:cs="Times New Roman" w:ascii="Times New Roman" w:hAnsi="Times New Roman"/>
          <w:spacing w:val="-2"/>
          <w:sz w:val="22"/>
        </w:rPr>
        <w:t>.  The commitment to purchase, or to arrange for the purchase of, such participation interests evidenced by fixed rate certificates of participation (the "Certificates") in such OPIC loans in the aggregate principal amount of $200,000,000 is hereinafter referred to as the "Purchase Arrangement".  Payment of principal and interest on such participation interests will be comprehensively guaranteed by OPIC and backed by the full faith and credit of the United States of America, subject to the terms and conditions of the Funding Agreement referenced below.  For the purposes of this letter, "Citibank" or "we" shall mean Citibank, N.A.  and/or any affiliate thereof as we shall determine to be appropriate to provide the services contemplated herein.</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 xml:space="preserve"> </w:t>
      </w:r>
    </w:p>
    <w:p>
      <w:pPr>
        <w:pStyle w:val="Normal"/>
        <w:tabs>
          <w:tab w:val="clear" w:pos="720"/>
          <w:tab w:val="left" w:pos="-720" w:leader="none"/>
        </w:tabs>
        <w:suppressAutoHyphens w:val="true"/>
        <w:jc w:val="both"/>
        <w:rPr/>
      </w:pPr>
      <w:r>
        <w:rPr>
          <w:rFonts w:cs="Times New Roman" w:ascii="Times New Roman" w:hAnsi="Times New Roman"/>
          <w:spacing w:val="-2"/>
          <w:sz w:val="22"/>
        </w:rPr>
        <w:t>On behalf of Citibank, N.A., we are pleased to inform you of Citibank, N.A.'s commitment to purchase such participation interests, in each case subject to the terms and conditions described in this letter and the attached Annex I (collectively, the "Commitment Letter"). The terms of Annex I are an integral part of Citibank's commitment</w:t>
      </w:r>
      <w:r>
        <w:rPr>
          <w:rStyle w:val="FootnoteCharacters"/>
          <w:rFonts w:cs="Times New Roman" w:ascii="Times New Roman" w:hAnsi="Times New Roman"/>
          <w:spacing w:val="-2"/>
          <w:sz w:val="22"/>
        </w:rPr>
        <w:t xml:space="preserve"> </w:t>
      </w:r>
      <w:r>
        <w:rPr>
          <w:rFonts w:cs="Times New Roman" w:ascii="Times New Roman" w:hAnsi="Times New Roman"/>
          <w:spacing w:val="-2"/>
          <w:sz w:val="22"/>
        </w:rPr>
        <w:t xml:space="preserve"> hereunder, and constitute part of this Commitment Letter for all purposes hereof.  Please note that those matters that are not covered or made clear herein or in Annex I are subject to mutual agreement of the parties.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Heading1"/>
        <w:ind w:hanging="0" w:start="0"/>
        <w:rPr/>
      </w:pPr>
      <w:r>
        <w:rPr/>
        <w:t>Conditions Precedent</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The commitment and undertaking of Citibank, N.A hereunder as purchaser of such participation interests under the Purchase Arrangement (the "Purchaser") are subject to: (i) the preparation, execution and delivery of a Funding and OPIC Guaranty Agreement (as may be amended from time to time, the "Funding Agreement”) among OPIC, the Companies, and Citibank, N.A. as paying agent and as Purchaser, to reflect the terms of the Purchase Arrangement, including, without limitation, the comprehensive guaranty of OPIC, in each case acceptable to the Companies, Citibank and OPIC incorporating substantially the terms and conditions outlined in this Commitment Letter and related documentation; (ii) the accuracy and completeness of all representations you make to Citibank and the Purchaser and all information that you furnish to Citibank and the Purchaser and your compliance with the terms of this Commitment Letter; (iii) the payment in full when due of all fees, expenses and other amounts payable under this Commitment Letter; (iv) the satisfaction of all applicable conditions precedent set forth in  the  Funding Agreement; (v) the receipt by Citibank of such certificates, letters or opinions of counsel as Citibank may reasonably request, addressed to Citibank and in form and substance reasonably satisfactory to Citibank (including, without limitation, opinions of  special Bolivian and Brazilian counsel to the Companies, Vinson &amp; Elkins L.L.P., special U.S. counsel to the Companies, Freshfields LLP, special U.S. counsel to OPIC, and Milbank, Tweed, Hadley &amp; McCloy LLP, counsel to Citibank); and (vi) a closing of the Purchase Arrangement on or prior to September 30, 2000 or as may be mutually agreed to in writing by the parties hereto.</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u w:val="single"/>
        </w:rPr>
        <w:t>Commitment Termination</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Citibank's commitment and undertaking and the participation of the Purchaser in the Purchase Arrangement set forth in this Commitment Letter will terminate on September 30, 2000, unless the Funding Agreement and any other Purchase Arrangement documentation contemplated in the immediately preceding paragraph are executed by all parties thereto on or before such date.  Prior to such date, this Commitment Letter may be terminated (i) by you at any time at your option upon payment of all fees, expenses and other amounts then payable under this Commitment Letter or (ii) by Citibank if any event occurs or information has become available that, in its judgment, results or is likely to result in the failure to satisfy any condition set forth in the immediately preceding paragraph.</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Heading1"/>
        <w:ind w:hanging="0" w:start="0"/>
        <w:rPr/>
      </w:pPr>
      <w:r>
        <w:rPr/>
        <w:t>Indemnification</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2"/>
        <w:tabs>
          <w:tab w:val="clear" w:pos="4320"/>
          <w:tab w:val="left" w:pos="-720" w:leader="none"/>
        </w:tabs>
        <w:rPr/>
      </w:pPr>
      <w:r>
        <w:rPr/>
        <w:t xml:space="preserve">The Companies jointly and severally agree to indemnify and hold harmless and release each Indemnified Party (as defined below) from and against any and all losses, claims, damages, liabilities and expenses (including, without limitation, reasonable fees and expenses of counsel) asserted or awarded against or incurred by such Indemnified Party resulting from or arising out of (or relating to any investigation, litigation or proceeding or the preparation of any defense with respect thereto, resulting from or arising out of) (i) the transactions contemplated hereunder (whether or not such transactions are consummated) or the use or proposed use of the proceeds of the Purchase Arrangement and (ii) the engagement of and the performance by each Indemnified Party hereunder (whether or not any such investigation, litigation or proceeding is brought by the Companies, any of their shareholders, affiliates, or creditors, an Indemnified Party or any other person, or whether or not an Indemnified Party is otherwise a party thereto), other than losses, claims, damages, liabilities and expenses results from or arises out of such Indemnified Party's gross negligence or willful misconduct as determined by a final non-appealable judgment of a court of competent jurisdiction; </w:t>
      </w:r>
      <w:r>
        <w:rPr>
          <w:u w:val="single"/>
        </w:rPr>
        <w:t>provided</w:t>
      </w:r>
      <w:r>
        <w:rPr/>
        <w:t xml:space="preserve"> that the Companies shall not be in breach of this provision while a determination of gross negligence or willful misconduct is being adjudicated.  For purposes hereof, an "Indemnified Party" shall mean each of OPIC, and Citibank their respective affiliates and each of the officers, directors, employees, agents, advisors and representatives of each of the foregoing entities (each, an "Indemnified Party").</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The Companies agree that no Indemnified Party shall have any liability (whether direct or indirect, in contract, tort or otherwise) to the Companies or any of their shareholders, affiliates, or creditors or any other person for or in connection with the transactions contemplated hereby, except for direct, as opposed to consequential, damages to the extent such liability is found in a final non-appealable judgment by a court of competent jurisdiction to have resulted from such Indemnified Party's gross negligence or willful misconduct.</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u w:val="single"/>
        </w:rPr>
        <w:t>Costs and Expenses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 xml:space="preserve">Whether or not any of the transactions contemplated hereby is consummated, the Companies jointly and severally agree to reimburse Citibank , upon request, for all its reasonable out-of-pocket expenses incurred in connection herewith (including, without limitation, reasonable fees and expenses of counsel), whether incurred before or after the date hereof, in U.S. dollars in New York or, at Citibank's direction, in the currency and at the place in which such costs and expenses were incurred. The Companies also jointly and severally agree to pay all costs and expenses of Citibank (including, without limitation, fees and disbursements of counsel) incurred in connection with the enforcement of any of its rights and remedies hereunder.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u w:val="single"/>
        </w:rPr>
        <w:t>Taxes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All payments by the Companies or OPIC under this Commitment Letter shall be made free and clear of any set-off, claims or withholding or other applicable taxes and shall be made (except as otherwise specified in "Costs and Expenses" above) in U.S. dollars in New York.</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u w:val="single"/>
        </w:rPr>
        <w:t>Confidentiality</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 xml:space="preserve">The Companies hereby agree that this Commitment Letter is for their confidential use only and that neither its existence nor the terms hereof will be disclosed by either the Companies to any person other than the Companies' affiliates, officers, directors, employees, accountants, attorneys and other advisors, and then only on a "need to know" basis in connection with the transactions contemplated hereby and on a confidential basis.  Notwithstanding the foregoing, following the acceptance of the provisions hereof and the return of an executed counterpart of this Commitment Letter to us as provided below, the Companies (i) may make public disclosure of the existence and amount of Citibank's commitment hereunder and its identity as agent bank, (ii) may file a copy of this Commitment Letter in any public record in which they are required by law to be filed and (iii) may make such other public disclosures of the terms and conditions hereof as you are required by law, in the opinion of your counsel, to make.  </w:t>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t>Representations and Warranties</w:t>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Each Company represents and warrants that (i) all information that has been or will hereafter be made available to Citibank by or on behalf of each Company or any of its representatives in connection with the transactions contemplated hereby is and will be complete and correct in all material respects and does not and will not contain any untrue statement of a material fact or omit to state a material fact necessary in order to make the statements contained therein not misleading in light of the circumstances under which such statements were or are made and (ii) all financial projections, if any, that have been or will be prepared by or on behalf of such Company and made available to Citibank have been or will be prepared in good faith based upon reasonable assumptions (it being understood that such projections are subject to significant uncertainties and contingencies, many of which are beyond such Company's control, and that no assurance can be given that the projections will be realized). Each Company agrees to supplement such information and projections from time to time prior to the execution of final documentation of the Purchase Arrangement so that the representations and warranties contained in this paragraph remain complete and correct.</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In issuing this commitment and undertaking, Citibank is relying on the accuracy of the information furnished to it by or on behalf of the Companies, their representatives and its affiliates without independent verification thereof.</w:t>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u w:val="single"/>
        </w:rPr>
        <w:t>No Third Party Reliance, Etc.</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 xml:space="preserve">The agreements of Citibank hereunder are provided solely for the benefit of OPIC and the Companies and may not be relied upon or enforced by any other person.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You should be aware that Citibank or one or more of its affiliates may be providing financing or other services to parties whose interests may conflict with yours.  However, Citibank assures that consistent with Citibank's long-standing policy to hold in confidence the affairs of its customers, except as otherwise authorized by the Companies and OPIC, neither Citibank nor any of its affiliates will use confidential information obtained from the Companies, its affiliates or OPIC except in connection with Citibank's and its affiliates' services to and relationship with the Companies, its affiliates and OPIC nor will Citibank or any of its affiliates furnish confidential information obtained from the Companies or OPIC to any of its other customers.  By the same token, neither Citibank nor any of its affiliates will make available to the Companies or OPIC confidential information that it obtained or may obtain from any other customer.</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The commitment and undertaking of Citibank hereunder may be rendered through any affiliates of Citibank. In connection therewith, you acknowledge and agree that Citibank may share information or matters relating to the Companies, OPIC or the transactions contemplated hereby with such affiliates, and that such affiliates may likewise share information relating to the Companies, OPIC or the transactions with Citibank, provided that such affiliates agree to be bound by the confidentiality obligations set forth in the immediately preceding paragraph.</w:t>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u w:val="single"/>
        </w:rPr>
        <w:t>Jurisdiction; Waivers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Each Company hereby irrevocably (i) submits to the non-exclusive jurisdiction of any New York State or Federal court sitting in New York City, and any appellate court from any thereof, in any action or proceeding arising out of or relating to this Commitment Letter, (ii) agrees that all claims in respect of such action or proceeding may be heard and determined in such New York State court or in such Federal court, (iii) waives, to the fullest extent it may effectively do so, the defense of an inconvenient forum to the maintenance of such action or proceeding, (iv) consents to the service of any and all process in any such action or proceeding by the mailing of copies of such process to it at its address set forth in this Commitment Letter or in any other manner permitted by law, and (v) agrees that a final non-appealable judgment in any such action or proceeding shall be conclusive and may be enforced in other jurisdictions by suit on the judgment or in any other manner provided by law. To the extent that any party hereto has or hereafter may acquire any immunity from jurisdiction of any court or from set-off or any legal process (whether through service or notice, attachment prior to judgment, attachment in aid of execution, execution or otherwise) with respect to it or its property, it hereby irrevocably waives such immunity in respect of its obligations under this Commitment Letter and, without limiting the generality of the foregoing, agree that the waivers set forth in this sentence shall have the fullest scope permitted under the Foreign Sovereign Immunities Act of 1976 of the United States and are intended to be irrevocable for purposes of such Act.</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The obligations of the Companies in respect of any sum due from the Companies to Citibank hereunder shall, notwithstanding any judgment in a currency other than U.S. dollars, be discharged only to the extent that on the Business Day following our receipt of any sum adjudged to be so due in such other currency, Citibank may, in accordance with normal banking procedures, purchase (and remit in New York) U.S. dollars with such other currency; if the U.S. dollars so purchased and remitted are less than the sum originally due to Citibank in U.S. dollars, the Companies jointly and severally agree, as a separate obligation and notwithstanding any such judgment, to indemnify Citibank against such loss, and if the U.S. dollars so purchased exceed the sum originally due to us in U.S. dollars, we agree to remit to you such excess.</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keepNext w:val="true"/>
        <w:tabs>
          <w:tab w:val="clear" w:pos="720"/>
          <w:tab w:val="left" w:pos="-720" w:leader="none"/>
        </w:tabs>
        <w:suppressAutoHyphens w:val="true"/>
        <w:jc w:val="both"/>
        <w:rPr/>
      </w:pPr>
      <w:r>
        <w:rPr>
          <w:rFonts w:cs="Times New Roman" w:ascii="Times New Roman" w:hAnsi="Times New Roman"/>
          <w:spacing w:val="-2"/>
          <w:sz w:val="22"/>
          <w:u w:val="single"/>
        </w:rPr>
        <w:t>Amendments; Assignments</w:t>
      </w:r>
      <w:r>
        <w:rPr>
          <w:rFonts w:cs="Times New Roman" w:ascii="Times New Roman" w:hAnsi="Times New Roman"/>
          <w:spacing w:val="-2"/>
          <w:sz w:val="22"/>
        </w:rPr>
        <w:t>.</w:t>
      </w:r>
    </w:p>
    <w:p>
      <w:pPr>
        <w:pStyle w:val="Normal"/>
        <w:keepNext w:val="true"/>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This Commitment Letter may not be amended or modified except in writing signed by all parties hereto. No Company may assign or delegate any of its rights or obligations hereunder without Citibank's prior written consent.</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u w:val="single"/>
        </w:rPr>
        <w:t>Governing Law, Etc.</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2"/>
        <w:tabs>
          <w:tab w:val="clear" w:pos="4320"/>
          <w:tab w:val="left" w:pos="-720" w:leader="none"/>
        </w:tabs>
        <w:rPr/>
      </w:pPr>
      <w:r>
        <w:rPr/>
        <w:t>This Commitment Letter shall be governed by, and construed in accordance with, the laws of the State of New York.  This Commitment Letter sets forth the entire agreement between the parties with respect to the matters addressed herein and supersedes all prior communications, written or oral, with respect hereto.  This Commitment Letter may be executed in any number of counterparts, each of which, when so executed, shall be deemed to be an original and all of which, taken together, shall constitute one and the same Commitment Letter.  Delivery of an executed counterpart of a signature page to this Commitment Letter by telecopier shall be as effective as delivery of a manually executed counterpart of this Commitment Letter. The obligations under the paragraphs captioned "Indemnification", "Costs and Expenses", "Taxes", "Confidentiality" and "Jurisdiction" shall survive the expiration or termination of this Commitment Letter.</w:t>
      </w:r>
    </w:p>
    <w:p>
      <w:pPr>
        <w:pStyle w:val="BodyText2"/>
        <w:tabs>
          <w:tab w:val="clear" w:pos="4320"/>
          <w:tab w:val="left" w:pos="-720" w:leader="none"/>
        </w:tabs>
        <w:rPr/>
      </w:pPr>
      <w:r>
        <w:rPr/>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t>Waiver of Jury Trial</w:t>
      </w:r>
    </w:p>
    <w:p>
      <w:pPr>
        <w:pStyle w:val="Normal"/>
        <w:tabs>
          <w:tab w:val="clear" w:pos="720"/>
          <w:tab w:val="left" w:pos="-720" w:leader="none"/>
        </w:tabs>
        <w:suppressAutoHyphens w:val="true"/>
        <w:jc w:val="both"/>
        <w:rPr>
          <w:rFonts w:ascii="Times New Roman" w:hAnsi="Times New Roman" w:cs="Times New Roman"/>
          <w:spacing w:val="-2"/>
          <w:sz w:val="22"/>
          <w:u w:val="single"/>
        </w:rPr>
      </w:pPr>
      <w:r>
        <w:rPr>
          <w:rFonts w:cs="Times New Roman" w:ascii="Times New Roman" w:hAnsi="Times New Roman"/>
          <w:spacing w:val="-2"/>
          <w:sz w:val="22"/>
          <w:u w:val="single"/>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Each party hereto irrevocably waives all right to trial by jury in any action, proceeding or counterclaim (whether based on contract, tort or otherwise) arising out of or relating to this Commitment Letter or the transactions contemplated hereby or the actions of Citibank or any other person in the negotiation, performance or enforcement hereof.</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r>
        <w:br w:type="page"/>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If you accept and are in agreement with the terms and conditions of this Commitment Letter, please evidence your acceptance and agreement by signing and returning to us a signed copy of this Commitment Letter (which may be signed in one or more counterparts, all of which taken together shall constitute a single agreement), to William G. Evans, Vice President, Citicorp North America, Inc., 500 West Madison Street, Chicago, IL 60661 fax: (312) 627-5112) at or before 5 p.m. (Chicago time) on August 4, 2000, the time at which Citibank’s commitment hereunder (if not so accepted prior thereto) will terminate.  If the Companies elect to deliver this Commitment Letter by telecopier, please arrange for the executed original to follow by next-day courier.</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2"/>
        <w:rPr/>
      </w:pPr>
      <w:r>
        <w:rPr/>
        <w:tab/>
        <w:t>Very truly yours,</w:t>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CITICORP NORTH AMERICA, INC., individually and</w:t>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as agent for Citibank, N.A.</w:t>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By: _____________________________________</w:t>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Title: Vice President</w:t>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3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ACCEPTED AND AGREED</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this ___ day of _____________, 2000:</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Heading2"/>
        <w:ind w:hanging="0" w:start="0"/>
        <w:rPr/>
      </w:pPr>
      <w:r>
        <w:rPr/>
        <w:t xml:space="preserve">OVERSEAS PRIVATE </w:t>
        <w:tab/>
        <w:t xml:space="preserve">EPE-EMPRESA PRODUTORA </w:t>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INVESTMENT CORPORATION</w:t>
        <w:tab/>
        <w:tab/>
        <w:tab/>
        <w:t>ENERGIA LTDA</w:t>
      </w:r>
    </w:p>
    <w:p>
      <w:pPr>
        <w:pStyle w:val="Normal"/>
        <w:tabs>
          <w:tab w:val="clear" w:pos="720"/>
          <w:tab w:val="left" w:pos="-720" w:leader="none"/>
          <w:tab w:val="left" w:pos="441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41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41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By: _______________________________</w:t>
        <w:tab/>
        <w:tab/>
        <w:t>By:  ________________________________</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Title:</w:t>
        <w:tab/>
        <w:tab/>
        <w:tab/>
        <w:tab/>
        <w:tab/>
        <w:tab/>
        <w:tab/>
        <w:t>Title:</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GAS ORIENTE BOLIVIANO LTDA</w:t>
        <w:tab/>
        <w:tab/>
        <w:tab/>
        <w:t>GASOCIDENTE DO MATO GROSSO LTDA</w:t>
      </w:r>
    </w:p>
    <w:p>
      <w:pPr>
        <w:pStyle w:val="Normal"/>
        <w:tabs>
          <w:tab w:val="clear" w:pos="720"/>
          <w:tab w:val="left" w:pos="-720" w:leader="none"/>
          <w:tab w:val="left" w:pos="441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41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 w:val="left" w:pos="441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By: _______________________________</w:t>
        <w:tab/>
        <w:tab/>
        <w:t>By:  ________________________________</w:t>
      </w:r>
    </w:p>
    <w:p>
      <w:pPr>
        <w:pStyle w:val="BodyText2"/>
        <w:tabs>
          <w:tab w:val="clear" w:pos="4320"/>
          <w:tab w:val="left" w:pos="-720" w:leader="none"/>
          <w:tab w:val="left" w:pos="4410" w:leader="none"/>
        </w:tabs>
        <w:rPr/>
      </w:pPr>
      <w:r>
        <w:rPr/>
        <w:t>Title:</w:t>
        <w:tab/>
        <w:tab/>
        <w:t>Title:</w:t>
      </w:r>
    </w:p>
    <w:p>
      <w:pPr>
        <w:pStyle w:val="Normal"/>
        <w:tabs>
          <w:tab w:val="clear" w:pos="720"/>
          <w:tab w:val="left" w:pos="-720" w:leader="none"/>
          <w:tab w:val="left" w:pos="441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BodyText2"/>
        <w:tabs>
          <w:tab w:val="clear" w:pos="4320"/>
          <w:tab w:val="left" w:pos="-720" w:leader="none"/>
          <w:tab w:val="left" w:pos="4410" w:leader="none"/>
        </w:tabs>
        <w:rPr>
          <w:rFonts w:ascii="Times New Roman" w:hAnsi="Times New Roman" w:cs="Times New Roman"/>
          <w:spacing w:val="-2"/>
          <w:sz w:val="22"/>
        </w:rPr>
      </w:pPr>
      <w:r>
        <w:rPr>
          <w:rFonts w:cs="Times New Roman"/>
          <w:spacing w:val="-2"/>
          <w:sz w:val="22"/>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2"/>
        <w:tabs>
          <w:tab w:val="clear" w:pos="4320"/>
          <w:tab w:val="left" w:pos="-720" w:leader="none"/>
          <w:tab w:val="left" w:pos="4410" w:leader="none"/>
        </w:tabs>
        <w:rPr/>
      </w:pPr>
      <w:r>
        <w:rPr/>
      </w:r>
    </w:p>
    <w:p>
      <w:pPr>
        <w:pStyle w:val="BodyText2"/>
        <w:tabs>
          <w:tab w:val="clear" w:pos="4320"/>
          <w:tab w:val="left" w:pos="-720" w:leader="none"/>
          <w:tab w:val="left" w:pos="4410" w:leader="none"/>
        </w:tabs>
        <w:rPr/>
      </w:pPr>
      <w:r>
        <w:rPr/>
      </w:r>
    </w:p>
    <w:p>
      <w:pPr>
        <w:pStyle w:val="BodyText2"/>
        <w:tabs>
          <w:tab w:val="clear" w:pos="4320"/>
          <w:tab w:val="left" w:pos="-720" w:leader="none"/>
          <w:tab w:val="left" w:pos="4410" w:leader="none"/>
        </w:tabs>
        <w:rPr/>
      </w:pPr>
      <w:r>
        <w:rPr/>
        <w:tab/>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Normal"/>
        <w:tabs>
          <w:tab w:val="clear" w:pos="720"/>
          <w:tab w:val="right" w:pos="9360" w:leader="none"/>
        </w:tabs>
        <w:suppressAutoHyphens w:val="true"/>
        <w:jc w:val="end"/>
        <w:rPr/>
      </w:pPr>
      <w:r>
        <w:rPr/>
      </w:r>
    </w:p>
    <w:p>
      <w:pPr>
        <w:pStyle w:val="Normal"/>
        <w:tabs>
          <w:tab w:val="clear" w:pos="720"/>
          <w:tab w:val="right" w:pos="9360" w:leader="none"/>
        </w:tabs>
        <w:suppressAutoHyphens w:val="true"/>
        <w:jc w:val="end"/>
        <w:rPr>
          <w:rFonts w:ascii="Times New Roman" w:hAnsi="Times New Roman" w:cs="Times New Roman"/>
          <w:b/>
          <w:spacing w:val="-2"/>
          <w:sz w:val="28"/>
        </w:rPr>
      </w:pPr>
      <w:r>
        <w:rPr>
          <w:rFonts w:cs="Times New Roman" w:ascii="Times New Roman" w:hAnsi="Times New Roman"/>
          <w:b/>
          <w:spacing w:val="-2"/>
          <w:sz w:val="28"/>
        </w:rPr>
        <w:t>ANNEX I</w:t>
      </w:r>
    </w:p>
    <w:p>
      <w:pPr>
        <w:pStyle w:val="Normal"/>
        <w:tabs>
          <w:tab w:val="clear" w:pos="720"/>
          <w:tab w:val="right" w:pos="936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r>
    </w:p>
    <w:p>
      <w:pPr>
        <w:pStyle w:val="Normal"/>
        <w:tabs>
          <w:tab w:val="clear" w:pos="720"/>
          <w:tab w:val="center" w:pos="4680" w:leader="none"/>
        </w:tabs>
        <w:suppressAutoHyphens w:val="true"/>
        <w:jc w:val="center"/>
        <w:rPr>
          <w:rFonts w:ascii="Times New Roman" w:hAnsi="Times New Roman" w:cs="Times New Roman"/>
          <w:b/>
          <w:spacing w:val="-3"/>
          <w:sz w:val="22"/>
        </w:rPr>
      </w:pPr>
      <w:r>
        <w:rPr>
          <w:rFonts w:cs="Times New Roman" w:ascii="Times New Roman" w:hAnsi="Times New Roman"/>
          <w:b/>
          <w:spacing w:val="-3"/>
          <w:sz w:val="22"/>
        </w:rPr>
      </w:r>
    </w:p>
    <w:p>
      <w:pPr>
        <w:pStyle w:val="Normal"/>
        <w:tabs>
          <w:tab w:val="clear" w:pos="720"/>
          <w:tab w:val="left" w:pos="-720" w:leader="none"/>
        </w:tabs>
        <w:suppressAutoHyphens w:val="true"/>
        <w:jc w:val="center"/>
        <w:rPr>
          <w:rFonts w:ascii="Times New Roman" w:hAnsi="Times New Roman" w:cs="Times New Roman"/>
          <w:b/>
          <w:spacing w:val="-2"/>
          <w:sz w:val="22"/>
        </w:rPr>
      </w:pPr>
      <w:r>
        <w:rPr>
          <w:rFonts w:cs="Times New Roman" w:ascii="Times New Roman" w:hAnsi="Times New Roman"/>
          <w:b/>
          <w:spacing w:val="-2"/>
          <w:sz w:val="22"/>
        </w:rPr>
        <w:t>EPE-EMPRESA PRODUTORA DE ENERGIA LTDA.,</w:t>
      </w:r>
    </w:p>
    <w:p>
      <w:pPr>
        <w:pStyle w:val="Normal"/>
        <w:tabs>
          <w:tab w:val="clear" w:pos="720"/>
          <w:tab w:val="left" w:pos="-720" w:leader="none"/>
        </w:tabs>
        <w:suppressAutoHyphens w:val="true"/>
        <w:jc w:val="center"/>
        <w:rPr>
          <w:rFonts w:ascii="Times New Roman" w:hAnsi="Times New Roman" w:cs="Times New Roman"/>
          <w:b/>
          <w:spacing w:val="-2"/>
          <w:sz w:val="22"/>
        </w:rPr>
      </w:pPr>
      <w:r>
        <w:rPr>
          <w:rFonts w:cs="Times New Roman" w:ascii="Times New Roman" w:hAnsi="Times New Roman"/>
          <w:b/>
          <w:spacing w:val="-2"/>
          <w:sz w:val="22"/>
        </w:rPr>
        <w:t>GAS ORIENTE BOLIVIANO LTDA.,</w:t>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b/>
          <w:spacing w:val="-2"/>
          <w:sz w:val="22"/>
        </w:rPr>
        <w:t>and GASOCIDENTE DO MATO GROSSO LTDA.,</w:t>
      </w:r>
    </w:p>
    <w:p>
      <w:pPr>
        <w:pStyle w:val="Normal"/>
        <w:tabs>
          <w:tab w:val="clear" w:pos="720"/>
          <w:tab w:val="left" w:pos="-720" w:leader="none"/>
        </w:tabs>
        <w:suppressAutoHyphens w:val="true"/>
        <w:jc w:val="center"/>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center" w:pos="4680" w:leader="none"/>
        </w:tabs>
        <w:suppressAutoHyphens w:val="true"/>
        <w:jc w:val="center"/>
        <w:rPr>
          <w:rFonts w:ascii="Times New Roman" w:hAnsi="Times New Roman" w:cs="Times New Roman"/>
          <w:b/>
          <w:i/>
          <w:i/>
          <w:spacing w:val="-3"/>
          <w:sz w:val="22"/>
        </w:rPr>
      </w:pPr>
      <w:r>
        <w:rPr>
          <w:rFonts w:cs="Times New Roman" w:ascii="Times New Roman" w:hAnsi="Times New Roman"/>
          <w:b/>
          <w:i/>
          <w:spacing w:val="-3"/>
          <w:sz w:val="22"/>
        </w:rPr>
        <w:t>Summary of Terms and Conditions</w:t>
      </w:r>
    </w:p>
    <w:p>
      <w:pPr>
        <w:pStyle w:val="Normal"/>
        <w:tabs>
          <w:tab w:val="clear" w:pos="720"/>
          <w:tab w:val="center" w:pos="4680" w:leader="none"/>
        </w:tabs>
        <w:suppressAutoHyphens w:val="true"/>
        <w:jc w:val="center"/>
        <w:rPr>
          <w:rFonts w:ascii="Times New Roman" w:hAnsi="Times New Roman" w:cs="Times New Roman"/>
          <w:b/>
          <w:i/>
          <w:i/>
          <w:spacing w:val="-3"/>
          <w:sz w:val="22"/>
        </w:rPr>
      </w:pPr>
      <w:r>
        <w:rPr>
          <w:rFonts w:cs="Times New Roman" w:ascii="Times New Roman" w:hAnsi="Times New Roman"/>
          <w:b/>
          <w:i/>
          <w:spacing w:val="-3"/>
          <w:sz w:val="22"/>
        </w:rPr>
      </w:r>
    </w:p>
    <w:p>
      <w:pPr>
        <w:pStyle w:val="Normal"/>
        <w:tabs>
          <w:tab w:val="clear" w:pos="720"/>
          <w:tab w:val="center" w:pos="4680" w:leader="none"/>
        </w:tabs>
        <w:suppressAutoHyphens w:val="true"/>
        <w:jc w:val="center"/>
        <w:rPr/>
      </w:pPr>
      <w:r>
        <w:rPr>
          <w:rFonts w:cs="Times New Roman" w:ascii="Times New Roman" w:hAnsi="Times New Roman"/>
          <w:b/>
          <w:i/>
          <w:spacing w:val="-3"/>
          <w:sz w:val="22"/>
        </w:rPr>
        <w:t>U.S.$200,000,000</w:t>
      </w:r>
      <w:r>
        <w:rPr>
          <w:rFonts w:cs="Times New Roman" w:ascii="Times New Roman" w:hAnsi="Times New Roman"/>
          <w:spacing w:val="-2"/>
          <w:sz w:val="22"/>
        </w:rPr>
        <w:t xml:space="preserve"> </w:t>
      </w:r>
      <w:r>
        <w:rPr>
          <w:rFonts w:cs="Times New Roman" w:ascii="Times New Roman" w:hAnsi="Times New Roman"/>
          <w:b/>
          <w:i/>
          <w:spacing w:val="-2"/>
          <w:sz w:val="22"/>
        </w:rPr>
        <w:t>Purchase Arrangement to Purchase</w:t>
      </w:r>
    </w:p>
    <w:p>
      <w:pPr>
        <w:pStyle w:val="Normal"/>
        <w:tabs>
          <w:tab w:val="clear" w:pos="720"/>
          <w:tab w:val="center" w:pos="4680" w:leader="none"/>
        </w:tabs>
        <w:suppressAutoHyphens w:val="true"/>
        <w:jc w:val="center"/>
        <w:rPr>
          <w:rFonts w:ascii="Times New Roman" w:hAnsi="Times New Roman" w:cs="Times New Roman"/>
          <w:spacing w:val="-3"/>
          <w:sz w:val="22"/>
        </w:rPr>
      </w:pPr>
      <w:r>
        <w:rPr>
          <w:rFonts w:cs="Times New Roman" w:ascii="Times New Roman" w:hAnsi="Times New Roman"/>
          <w:b/>
          <w:i/>
          <w:spacing w:val="-2"/>
          <w:sz w:val="22"/>
        </w:rPr>
        <w:t>Fixed Rate Certificates of Participation</w:t>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s>
        <w:suppressAutoHyphens w:val="true"/>
        <w:ind w:hanging="2880" w:start="2880" w:end="0"/>
        <w:rPr>
          <w:rFonts w:ascii="Times New Roman" w:hAnsi="Times New Roman" w:cs="Times New Roman"/>
          <w:b/>
          <w:i/>
          <w:i/>
          <w:spacing w:val="-3"/>
          <w:sz w:val="22"/>
        </w:rPr>
      </w:pPr>
      <w:r>
        <w:rPr>
          <w:rFonts w:cs="Times New Roman" w:ascii="Times New Roman" w:hAnsi="Times New Roman"/>
          <w:b/>
          <w:i/>
          <w:spacing w:val="-3"/>
          <w:sz w:val="22"/>
        </w:rPr>
        <w:t>Purchase</w:t>
      </w:r>
    </w:p>
    <w:p>
      <w:pPr>
        <w:pStyle w:val="Normal"/>
        <w:tabs>
          <w:tab w:val="clear" w:pos="720"/>
          <w:tab w:val="left" w:pos="2880" w:leader="none"/>
        </w:tabs>
        <w:suppressAutoHyphens w:val="true"/>
        <w:ind w:hanging="2880" w:start="2880" w:end="0"/>
        <w:jc w:val="both"/>
        <w:rPr/>
      </w:pPr>
      <w:r>
        <w:rPr>
          <w:rFonts w:cs="Times New Roman" w:ascii="Times New Roman" w:hAnsi="Times New Roman"/>
          <w:b/>
          <w:i/>
          <w:spacing w:val="-3"/>
          <w:sz w:val="22"/>
        </w:rPr>
        <w:t>Arrangement:</w:t>
      </w:r>
      <w:r>
        <w:rPr>
          <w:rFonts w:cs="Times New Roman" w:ascii="Times New Roman" w:hAnsi="Times New Roman"/>
          <w:spacing w:val="-3"/>
          <w:sz w:val="22"/>
        </w:rPr>
        <w:tab/>
        <w:t>A commitment to purchase fixed rate c</w:t>
      </w:r>
      <w:r>
        <w:rPr>
          <w:rFonts w:cs="Times New Roman" w:ascii="Times New Roman" w:hAnsi="Times New Roman"/>
          <w:spacing w:val="-2"/>
          <w:sz w:val="22"/>
        </w:rPr>
        <w:t>ertificates of participation</w:t>
      </w:r>
      <w:r>
        <w:rPr>
          <w:rFonts w:cs="Times New Roman" w:ascii="Times New Roman" w:hAnsi="Times New Roman"/>
          <w:spacing w:val="-3"/>
          <w:sz w:val="22"/>
        </w:rPr>
        <w:t xml:space="preserve"> (the "Purchase Arrangement").</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Purchase Amount:</w:t>
      </w:r>
      <w:r>
        <w:rPr>
          <w:rFonts w:cs="Times New Roman" w:ascii="Times New Roman" w:hAnsi="Times New Roman"/>
          <w:spacing w:val="-3"/>
          <w:sz w:val="22"/>
        </w:rPr>
        <w:tab/>
        <w:t>Up to U.S.$200,000,000.</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b/>
          <w:i/>
          <w:spacing w:val="-3"/>
          <w:sz w:val="22"/>
        </w:rPr>
        <w:t>Purpose:</w:t>
      </w:r>
      <w:r>
        <w:rPr>
          <w:rFonts w:cs="Times New Roman" w:ascii="Times New Roman" w:hAnsi="Times New Roman"/>
          <w:spacing w:val="-3"/>
          <w:sz w:val="22"/>
        </w:rPr>
        <w:tab/>
        <w:t>T</w:t>
      </w:r>
      <w:r>
        <w:rPr>
          <w:rFonts w:cs="Times New Roman" w:ascii="Times New Roman" w:hAnsi="Times New Roman"/>
          <w:spacing w:val="-2"/>
          <w:sz w:val="22"/>
        </w:rPr>
        <w:t xml:space="preserve">o purchase the Fixed Rate Certificates of Participation (the "Certificates") to be issued by the Overseas Private Investment Corporation ("OPIC") in connection with loans made by OPIC to </w:t>
      </w:r>
      <w:r>
        <w:rPr>
          <w:rFonts w:cs="Times New Roman" w:ascii="Times New Roman" w:hAnsi="Times New Roman"/>
          <w:sz w:val="22"/>
        </w:rPr>
        <w:t>EPE-EMPRESA PRODUTORA DE ENERGIA LTDA., (</w:t>
      </w:r>
      <w:r>
        <w:rPr>
          <w:rFonts w:cs="Times New Roman" w:ascii="Times New Roman" w:hAnsi="Times New Roman"/>
          <w:b/>
          <w:i/>
          <w:sz w:val="22"/>
        </w:rPr>
        <w:t>EPE</w:t>
      </w:r>
      <w:r>
        <w:rPr>
          <w:rFonts w:cs="Times New Roman" w:ascii="Times New Roman" w:hAnsi="Times New Roman"/>
          <w:sz w:val="22"/>
        </w:rPr>
        <w:t>), GAS ORIENTE BOLIVIANO LTDA., (</w:t>
      </w:r>
      <w:r>
        <w:rPr>
          <w:rFonts w:cs="Times New Roman" w:ascii="Times New Roman" w:hAnsi="Times New Roman"/>
          <w:b/>
          <w:i/>
          <w:sz w:val="22"/>
        </w:rPr>
        <w:t>GasBol</w:t>
      </w:r>
      <w:r>
        <w:rPr>
          <w:rFonts w:cs="Times New Roman" w:ascii="Times New Roman" w:hAnsi="Times New Roman"/>
          <w:sz w:val="22"/>
        </w:rPr>
        <w:t>), and GASOCIDENTE DO MATO GROSSO LTDA., (</w:t>
      </w:r>
      <w:r>
        <w:rPr>
          <w:rFonts w:cs="Times New Roman" w:ascii="Times New Roman" w:hAnsi="Times New Roman"/>
          <w:b/>
          <w:i/>
          <w:sz w:val="22"/>
        </w:rPr>
        <w:t>GasMat)</w:t>
      </w:r>
      <w:r>
        <w:rPr>
          <w:rFonts w:cs="Times New Roman" w:ascii="Times New Roman" w:hAnsi="Times New Roman"/>
          <w:sz w:val="22"/>
        </w:rPr>
        <w:t xml:space="preserve">, </w:t>
      </w:r>
      <w:r>
        <w:rPr>
          <w:rFonts w:cs="Times New Roman" w:ascii="Times New Roman" w:hAnsi="Times New Roman"/>
          <w:spacing w:val="-2"/>
          <w:sz w:val="22"/>
        </w:rPr>
        <w:t xml:space="preserve">(the "Companies") in support of a project to </w:t>
      </w:r>
      <w:r>
        <w:rPr>
          <w:rFonts w:cs="Times New Roman" w:ascii="Times New Roman" w:hAnsi="Times New Roman"/>
          <w:sz w:val="22"/>
        </w:rPr>
        <w:t xml:space="preserve">build own and operate: 1) a 480MW gas-fired combined cycle electricity generating station and related transmission lines to be located in Cuiaba, Mato Grosso State, Brazil; 2) a 369 kilometer 18-inch diameter pipeline from Rio San Miguel, Bolivia to the Bolivia-Brazil border at San Matias Brazil; and 3) a 257 kilometer 18-inch diameter pipeline from the border at San Matias, Brazil to the generating station at Cuiaba, Brazil </w:t>
      </w:r>
      <w:r>
        <w:rPr>
          <w:rFonts w:cs="Times New Roman" w:ascii="Times New Roman" w:hAnsi="Times New Roman"/>
          <w:spacing w:val="-2"/>
          <w:sz w:val="22"/>
        </w:rPr>
        <w:t>(the "Project").</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Paying Agent:</w:t>
      </w:r>
      <w:r>
        <w:rPr>
          <w:rFonts w:cs="Times New Roman" w:ascii="Times New Roman" w:hAnsi="Times New Roman"/>
          <w:spacing w:val="-3"/>
          <w:sz w:val="22"/>
        </w:rPr>
        <w:tab/>
        <w:t>Citibank, N.A., as Paying Agent (or, the "Agent").</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Arranger:</w:t>
      </w:r>
      <w:r>
        <w:rPr>
          <w:rFonts w:cs="Times New Roman" w:ascii="Times New Roman" w:hAnsi="Times New Roman"/>
          <w:spacing w:val="-3"/>
          <w:sz w:val="22"/>
        </w:rPr>
        <w:tab/>
        <w:t>Citicorp North America, Inc.</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4320" w:leader="none"/>
        </w:tabs>
        <w:suppressAutoHyphens w:val="true"/>
        <w:ind w:hanging="2880" w:start="2880" w:end="0"/>
        <w:jc w:val="both"/>
        <w:rPr/>
      </w:pPr>
      <w:r>
        <w:rPr>
          <w:rFonts w:cs="Times New Roman" w:ascii="Times New Roman" w:hAnsi="Times New Roman"/>
          <w:b/>
          <w:i/>
          <w:spacing w:val="-3"/>
          <w:sz w:val="22"/>
        </w:rPr>
        <w:t>Issuer:</w:t>
        <w:tab/>
      </w:r>
      <w:r>
        <w:rPr>
          <w:rFonts w:cs="Times New Roman" w:ascii="Times New Roman" w:hAnsi="Times New Roman"/>
          <w:spacing w:val="-3"/>
          <w:sz w:val="22"/>
        </w:rPr>
        <w:t>Overseas Private Investment Corporation (“OPIC”).</w:t>
      </w:r>
    </w:p>
    <w:p>
      <w:pPr>
        <w:pStyle w:val="Normal"/>
        <w:tabs>
          <w:tab w:val="clear" w:pos="720"/>
          <w:tab w:val="left" w:pos="2880" w:leader="none"/>
          <w:tab w:val="left" w:pos="4320" w:leader="none"/>
        </w:tabs>
        <w:suppressAutoHyphens w:val="true"/>
        <w:ind w:hanging="2880" w:start="2880" w:end="0"/>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tabs>
          <w:tab w:val="clear" w:pos="720"/>
          <w:tab w:val="left" w:pos="2880" w:leader="none"/>
          <w:tab w:val="left" w:pos="4320" w:leader="none"/>
        </w:tabs>
        <w:suppressAutoHyphens w:val="true"/>
        <w:ind w:hanging="2880" w:start="2880" w:end="0"/>
        <w:jc w:val="both"/>
        <w:rPr/>
      </w:pPr>
      <w:r>
        <w:rPr>
          <w:rFonts w:cs="Times New Roman" w:ascii="Times New Roman" w:hAnsi="Times New Roman"/>
          <w:b/>
          <w:i/>
          <w:spacing w:val="-3"/>
          <w:sz w:val="22"/>
        </w:rPr>
        <w:t>Purchaser:</w:t>
      </w:r>
      <w:r>
        <w:rPr>
          <w:rFonts w:cs="Times New Roman" w:ascii="Times New Roman" w:hAnsi="Times New Roman"/>
          <w:spacing w:val="-3"/>
          <w:sz w:val="22"/>
        </w:rPr>
        <w:tab/>
        <w:t>Citibank, N.A. will purchase the full amount of the Certificates up to the Purchase Amount, in each case subject to the terms and conditions set forth herein and in the Commitment Letter.</w:t>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OPIC Guarantee:</w:t>
        <w:tab/>
      </w:r>
      <w:r>
        <w:rPr>
          <w:rFonts w:cs="Times New Roman" w:ascii="Times New Roman" w:hAnsi="Times New Roman"/>
          <w:spacing w:val="-3"/>
          <w:sz w:val="22"/>
        </w:rPr>
        <w:t>Comprehensive guarantee by OPIC of 100% of principal of and interest on the Certificates, backed by the full faith and credit of the United States of America.</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Closing Date:</w:t>
      </w:r>
      <w:r>
        <w:rPr>
          <w:rFonts w:cs="Times New Roman" w:ascii="Times New Roman" w:hAnsi="Times New Roman"/>
          <w:spacing w:val="-3"/>
          <w:sz w:val="22"/>
        </w:rPr>
        <w:tab/>
        <w:t>The date on which the purchase of the Certificates is made by the Purchaser from OPIC for purposes of making the OPIC loan described above, which is anticipated to occur on or prior to September 30, 2000.</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jc w:val="both"/>
        <w:rPr/>
      </w:pPr>
      <w:r>
        <w:rPr>
          <w:rFonts w:cs="Times New Roman" w:ascii="Times New Roman" w:hAnsi="Times New Roman"/>
          <w:b/>
          <w:i/>
          <w:spacing w:val="-3"/>
          <w:sz w:val="22"/>
        </w:rPr>
        <w:t>Final Maturity Date:</w:t>
        <w:tab/>
      </w:r>
      <w:r>
        <w:rPr>
          <w:rFonts w:cs="Times New Roman" w:ascii="Times New Roman" w:hAnsi="Times New Roman"/>
          <w:spacing w:val="-3"/>
          <w:sz w:val="22"/>
        </w:rPr>
        <w:t>Fifteen years from the Closing Date.</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Arrangement Fee:</w:t>
        <w:tab/>
      </w:r>
      <w:r>
        <w:rPr>
          <w:rFonts w:cs="Times New Roman" w:ascii="Times New Roman" w:hAnsi="Times New Roman"/>
          <w:spacing w:val="-3"/>
          <w:sz w:val="22"/>
        </w:rPr>
        <w:t>0.15% flat on the Purchase Amount, payable to the Arranger on the Closing Date.</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keepNext w:val="true"/>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Structuring Fee:</w:t>
        <w:tab/>
      </w:r>
      <w:r>
        <w:rPr>
          <w:rFonts w:cs="Times New Roman" w:ascii="Times New Roman" w:hAnsi="Times New Roman"/>
          <w:spacing w:val="-3"/>
          <w:sz w:val="22"/>
        </w:rPr>
        <w:t>0.10% flat on the Purchase Amount, payable to the Arranger on the Closing Date.</w:t>
      </w:r>
    </w:p>
    <w:p>
      <w:pPr>
        <w:pStyle w:val="Normal"/>
        <w:keepNext w:val="true"/>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keepNext w:val="true"/>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Interest Rates and</w:t>
      </w:r>
    </w:p>
    <w:p>
      <w:pPr>
        <w:pStyle w:val="Normal"/>
        <w:suppressAutoHyphens w:val="true"/>
        <w:ind w:hanging="2880" w:start="2880" w:end="0"/>
        <w:jc w:val="both"/>
        <w:rPr/>
      </w:pPr>
      <w:r>
        <w:rPr>
          <w:rFonts w:cs="Times New Roman" w:ascii="Times New Roman" w:hAnsi="Times New Roman"/>
          <w:b/>
          <w:i/>
          <w:spacing w:val="-3"/>
          <w:sz w:val="22"/>
        </w:rPr>
        <w:t>Interest Periods:</w:t>
      </w:r>
      <w:r>
        <w:rPr>
          <w:rFonts w:cs="Times New Roman" w:ascii="Times New Roman" w:hAnsi="Times New Roman"/>
          <w:spacing w:val="-3"/>
          <w:sz w:val="22"/>
        </w:rPr>
        <w:tab/>
      </w:r>
      <w:r>
        <w:rPr>
          <w:rFonts w:cs="Times New Roman" w:ascii="Times New Roman" w:hAnsi="Times New Roman"/>
          <w:spacing w:val="-2"/>
          <w:sz w:val="22"/>
        </w:rPr>
        <w:t xml:space="preserve"> </w:t>
        <w:tab/>
        <w:t xml:space="preserve">Subject to providing at least 3 business days prior notice to the Closing Date, the Companies would be able to lock in a fixed interest rate for this Purchase Arrangement.  </w:t>
      </w:r>
    </w:p>
    <w:p>
      <w:pPr>
        <w:pStyle w:val="Normal"/>
        <w:suppressAutoHyphens w:val="true"/>
        <w:ind w:hanging="2880" w:start="2880" w:end="0"/>
        <w:jc w:val="both"/>
        <w:rPr>
          <w:rFonts w:ascii="Times New Roman" w:hAnsi="Times New Roman" w:cs="Times New Roman"/>
          <w:spacing w:val="-2"/>
          <w:sz w:val="22"/>
        </w:rPr>
      </w:pPr>
      <w:r>
        <w:rPr>
          <w:rFonts w:cs="Times New Roman" w:ascii="Times New Roman" w:hAnsi="Times New Roman"/>
          <w:spacing w:val="-2"/>
          <w:sz w:val="22"/>
        </w:rPr>
      </w:r>
    </w:p>
    <w:p>
      <w:pPr>
        <w:pStyle w:val="BodyTextIndent3"/>
        <w:tabs>
          <w:tab w:val="clear" w:pos="2880"/>
          <w:tab w:val="clear" w:pos="3600"/>
          <w:tab w:val="clear" w:pos="4320"/>
        </w:tabs>
        <w:rPr/>
      </w:pPr>
      <w:r>
        <w:rPr/>
        <w:t>On the Closing Date, the Companies will be subject to a fixed rate of interest as determined by the Purchaser (based on an interest rate swap for the actual loan amortization profile) on or about three (3) business days prior to the funding date against a floating interest rate equal to one month LIBOR plus 0.20%. Interest would be payable monthly and computed on an actual over 360 day basis.</w:t>
      </w:r>
    </w:p>
    <w:p>
      <w:pPr>
        <w:pStyle w:val="Normal"/>
        <w:tabs>
          <w:tab w:val="clear" w:pos="720"/>
          <w:tab w:val="left" w:pos="288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Purchase:</w:t>
      </w:r>
      <w:r>
        <w:rPr>
          <w:rFonts w:cs="Times New Roman" w:ascii="Times New Roman" w:hAnsi="Times New Roman"/>
          <w:spacing w:val="-3"/>
          <w:sz w:val="22"/>
        </w:rPr>
        <w:tab/>
        <w:t>There would be one Purchase of Certificates.</w:t>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Repayment:</w:t>
        <w:tab/>
      </w:r>
      <w:r>
        <w:rPr>
          <w:rFonts w:cs="Times New Roman" w:ascii="Times New Roman" w:hAnsi="Times New Roman"/>
          <w:spacing w:val="-3"/>
          <w:sz w:val="22"/>
        </w:rPr>
        <w:t>The Companies shall repay in full, on a monthly amortizing basis, the total amount drawn not later than the Final Maturity Date.</w:t>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Prepayment:</w:t>
      </w:r>
      <w:r>
        <w:rPr>
          <w:rFonts w:cs="Times New Roman" w:ascii="Times New Roman" w:hAnsi="Times New Roman"/>
          <w:spacing w:val="-3"/>
          <w:sz w:val="22"/>
        </w:rPr>
        <w:tab/>
        <w:t>Any prepayment would subject the Companies to an early prepayment premium as detailed in the relevant OPIC loan documentation.</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rPr>
          <w:rFonts w:ascii="Times New Roman" w:hAnsi="Times New Roman" w:cs="Times New Roman"/>
          <w:b/>
          <w:i/>
          <w:i/>
          <w:sz w:val="22"/>
        </w:rPr>
      </w:pPr>
      <w:r>
        <w:rPr>
          <w:rFonts w:cs="Times New Roman" w:ascii="Times New Roman" w:hAnsi="Times New Roman"/>
          <w:b/>
          <w:i/>
          <w:sz w:val="22"/>
        </w:rPr>
        <w:t>OPIC Liquidity</w:t>
      </w:r>
    </w:p>
    <w:p>
      <w:pPr>
        <w:pStyle w:val="Normal"/>
        <w:ind w:hanging="2880" w:start="2880" w:end="0"/>
        <w:jc w:val="both"/>
        <w:rPr/>
      </w:pPr>
      <w:r>
        <w:rPr>
          <w:rFonts w:cs="Times New Roman" w:ascii="Times New Roman" w:hAnsi="Times New Roman"/>
          <w:b/>
          <w:i/>
          <w:sz w:val="22"/>
        </w:rPr>
        <w:t>Facility:</w:t>
      </w:r>
      <w:r>
        <w:rPr>
          <w:rFonts w:cs="Times New Roman" w:ascii="Times New Roman" w:hAnsi="Times New Roman"/>
          <w:sz w:val="22"/>
        </w:rPr>
        <w:tab/>
        <w:tab/>
        <w:tab/>
        <w:t>A Liquidity Facility in an amount equal to the highest amount of debt service relative to any three month period may be necessary depending upon the period that OPIC permits between a defaulted payment date and the claim payment from OPIC.  The actual type of liquidity arrangement will be negotiated between the Companies and OPIC, and must be satisfactory to the liquidity provider.  Based on the information you have provided, it appears that the amount of this Liquidity Facility would be approximately $9,000,000.</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tabs>
          <w:tab w:val="clear" w:pos="2880"/>
        </w:tabs>
        <w:spacing w:lineRule="auto" w:line="240"/>
        <w:rPr>
          <w:sz w:val="22"/>
        </w:rPr>
      </w:pPr>
      <w:r>
        <w:rPr>
          <w:sz w:val="22"/>
        </w:rPr>
        <w:tab/>
        <w:tab/>
        <w:tab/>
        <w:tab/>
        <w:t>A liquidity commitment fee of 10 basis points per annum on the Liquidity Facility amount would be payable to the agent of such Facility. The Liquidity Interest Rate will be priced at Citibank’s Base Rate minus 0.50% p.a. based on actual usage.  Citibank’s Base Rate is the rate of interest announced publicly by Citibank New York, from time to time, as Citibank’s Base Rate.  Both the Liquidity Commitment Fee and the Liquidity Interest Rate are calculated on an actual days over 360 basis.</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Purchase</w:t>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Documentation:</w:t>
      </w:r>
      <w:r>
        <w:rPr>
          <w:rFonts w:cs="Times New Roman" w:ascii="Times New Roman" w:hAnsi="Times New Roman"/>
          <w:spacing w:val="-3"/>
          <w:sz w:val="22"/>
        </w:rPr>
        <w:tab/>
        <w:t>The commitment to purchase Certificates will be subject to the terms of the Funding Agreement and related documentation, as amended as necessary to reflect the terms of the Purchase Arrangement, and the Commitment Letter.</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 xml:space="preserve">Conditions Precedent </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to Purchase</w:t>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and Closing:</w:t>
      </w:r>
      <w:r>
        <w:rPr>
          <w:rFonts w:cs="Times New Roman" w:ascii="Times New Roman" w:hAnsi="Times New Roman"/>
          <w:spacing w:val="-3"/>
          <w:sz w:val="22"/>
        </w:rPr>
        <w:tab/>
        <w:t>The closing shall be subject to the conditions precedent set forth in the Commitment Letter and conditions precedent to the issuance of the Certificates set forth in the Funding Agreement, as may be amended to reflect the terms of the Purchase Arrangement and related documentation.</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r>
    </w:p>
    <w:p>
      <w:pPr>
        <w:pStyle w:val="Normal"/>
        <w:keepNext w:val="true"/>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Representations</w:t>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and Warranties:</w:t>
      </w:r>
      <w:r>
        <w:rPr>
          <w:rFonts w:cs="Times New Roman" w:ascii="Times New Roman" w:hAnsi="Times New Roman"/>
          <w:spacing w:val="-3"/>
          <w:sz w:val="22"/>
        </w:rPr>
        <w:tab/>
        <w:t xml:space="preserve">The representations and warranties of the Companies and of OPIC will be contained in  the Funding Agreement. </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Other:</w:t>
      </w:r>
      <w:r>
        <w:rPr>
          <w:rFonts w:cs="Times New Roman" w:ascii="Times New Roman" w:hAnsi="Times New Roman"/>
          <w:spacing w:val="-3"/>
          <w:sz w:val="22"/>
        </w:rPr>
        <w:tab/>
        <w:t>The Purchase Arrangement documentation will include customary agency and set-off language.</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Assignments and</w:t>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Participations:</w:t>
      </w:r>
      <w:r>
        <w:rPr>
          <w:rFonts w:cs="Times New Roman" w:ascii="Times New Roman" w:hAnsi="Times New Roman"/>
          <w:spacing w:val="-3"/>
          <w:sz w:val="22"/>
        </w:rPr>
        <w:tab/>
        <w:t>The Purchaser will  have the right to assign, without notice to the Companies and the Agent, but with the consent of OPIC, such consent to not be unreasonably withheld, all or part of its rights to the Certificates to any Eligible Investor (as defined in the Funding Agreement).</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tab/>
        <w:t>The Purchaser will have the right to sell participations in its rights and obligations under the Purchase Arrangement documents, subject to customary restrictions on the participants' voting rights.</w:t>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tab/>
        <w:t>The Purchaser will have the right, without consent, to assign as security, all or part of its rights under the Purchase Arrangement to any Federal Reserve Bank.</w:t>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Yield Protection,</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Taxes, and</w:t>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Other Deductions:</w:t>
        <w:tab/>
      </w:r>
      <w:r>
        <w:rPr>
          <w:rFonts w:cs="Times New Roman" w:ascii="Times New Roman" w:hAnsi="Times New Roman"/>
          <w:spacing w:val="-3"/>
          <w:sz w:val="22"/>
        </w:rPr>
        <w:t>The Purchase Arrangement documents will contain judgment currency and yield protection provisions, customary for facilities of this nature, protecting the Purchaser in the event of unavailability of funding, funding losses, illegality, increased costs and reserve and capital adequacy requirements.</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start="2880" w:end="0"/>
        <w:jc w:val="both"/>
        <w:rPr>
          <w:rFonts w:ascii="Times New Roman" w:hAnsi="Times New Roman" w:cs="Times New Roman"/>
          <w:spacing w:val="-3"/>
          <w:sz w:val="22"/>
        </w:rPr>
      </w:pPr>
      <w:r>
        <w:rPr>
          <w:rFonts w:cs="Times New Roman" w:ascii="Times New Roman" w:hAnsi="Times New Roman"/>
          <w:spacing w:val="-3"/>
          <w:sz w:val="22"/>
        </w:rPr>
        <w:t>All payments to be made by the Companies shall be free and clear of any present or future taxes, withholdings or other deductions whatsoever (other than income taxes, franchise or ad valorem taxes imposed by any jurisdiction as a consequence of the Purchaser's or Agent's being organized and existing, qualified to do business or maintaining a permanent establishment in such jurisdiction).  The Companies will be responsible for payment of any stamp or similar taxes.  The Companies will indemnify the Purchasers and the Agent for such taxes paid by the Purchasers or the Agent, and will provide appropriate documentation, including receipts, when requested to indicate payment by the Companies of any such taxes.</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Submission to</w:t>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Jurisdiction, Etc.:</w:t>
      </w:r>
      <w:r>
        <w:rPr>
          <w:rFonts w:cs="Times New Roman" w:ascii="Times New Roman" w:hAnsi="Times New Roman"/>
          <w:spacing w:val="-3"/>
          <w:sz w:val="22"/>
        </w:rPr>
        <w:tab/>
        <w:t>Each Company will submit to the non-exclusive jurisdiction of the New York State and Federal courts sitting in New York City, and waive any right to immunity (sovereign or otherwise) from jurisdiction of any court, any set-off or legal process.  Each party will waive right to trial by jury.</w:t>
      </w:r>
    </w:p>
    <w:p>
      <w:pPr>
        <w:pStyle w:val="Normal"/>
        <w:tabs>
          <w:tab w:val="clear" w:pos="720"/>
          <w:tab w:val="left" w:pos="2880" w:leader="none"/>
          <w:tab w:val="left" w:pos="3600" w:leader="none"/>
          <w:tab w:val="left" w:pos="4320" w:leader="none"/>
        </w:tabs>
        <w:suppressAutoHyphens w:val="true"/>
        <w:ind w:hanging="2880" w:start="288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Governing Law:</w:t>
      </w:r>
      <w:r>
        <w:rPr>
          <w:rFonts w:cs="Times New Roman" w:ascii="Times New Roman" w:hAnsi="Times New Roman"/>
          <w:spacing w:val="-3"/>
          <w:sz w:val="22"/>
        </w:rPr>
        <w:tab/>
        <w:t>State of New York.</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b/>
          <w:i/>
          <w:i/>
          <w:spacing w:val="-3"/>
          <w:sz w:val="22"/>
        </w:rPr>
      </w:pPr>
      <w:r>
        <w:rPr>
          <w:rFonts w:cs="Times New Roman" w:ascii="Times New Roman" w:hAnsi="Times New Roman"/>
          <w:b/>
          <w:i/>
          <w:spacing w:val="-3"/>
          <w:sz w:val="22"/>
        </w:rPr>
        <w:t>Counsel to</w:t>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the Agent:</w:t>
      </w:r>
      <w:r>
        <w:rPr>
          <w:rFonts w:cs="Times New Roman" w:ascii="Times New Roman" w:hAnsi="Times New Roman"/>
          <w:spacing w:val="-3"/>
          <w:sz w:val="22"/>
        </w:rPr>
        <w:tab/>
        <w:t>Milbank, Tweed, Hadley &amp; McCloy LLP.</w:t>
      </w:r>
    </w:p>
    <w:p>
      <w:pPr>
        <w:pStyle w:val="Normal"/>
        <w:tabs>
          <w:tab w:val="clear" w:pos="720"/>
          <w:tab w:val="left" w:pos="2880" w:leader="none"/>
          <w:tab w:val="left" w:pos="3600" w:leader="none"/>
          <w:tab w:val="left" w:pos="43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2880" w:leader="none"/>
          <w:tab w:val="left" w:pos="3600" w:leader="none"/>
          <w:tab w:val="left" w:pos="4320" w:leader="none"/>
        </w:tabs>
        <w:suppressAutoHyphens w:val="true"/>
        <w:ind w:hanging="2880" w:start="2880" w:end="0"/>
        <w:jc w:val="both"/>
        <w:rPr/>
      </w:pPr>
      <w:r>
        <w:rPr>
          <w:rFonts w:cs="Times New Roman" w:ascii="Times New Roman" w:hAnsi="Times New Roman"/>
          <w:b/>
          <w:i/>
          <w:spacing w:val="-3"/>
          <w:sz w:val="22"/>
        </w:rPr>
        <w:t>Expenses:</w:t>
      </w:r>
      <w:r>
        <w:rPr>
          <w:rFonts w:cs="Times New Roman" w:ascii="Times New Roman" w:hAnsi="Times New Roman"/>
          <w:spacing w:val="-3"/>
          <w:sz w:val="22"/>
        </w:rPr>
        <w:tab/>
      </w:r>
      <w:r>
        <w:rPr>
          <w:rFonts w:cs="Times New Roman" w:ascii="Times New Roman" w:hAnsi="Times New Roman"/>
          <w:spacing w:val="-2"/>
          <w:sz w:val="22"/>
        </w:rPr>
        <w:t>All out-of-pocket expenses incurred (i) by OPIC, the Arranger and the Agent in connection with the preparation, execution, negotiation and delivery of the Purchase Arrangement documentation (including, without limitation, reasonable fees and expenses of counsel), (ii) by OPIC and the Agent in connection with the modification, amendment and administration of the Purchase Arrangement documentation (including, without limitation, reasonable fees and expenses of counsel) and (iii) by OPIC, the Agent, the Arranger, and Citibank, N.A. in connection with the enforcement of the Purchase Arrangement documentation (including reasonable fees and expenses of counsel), are for the Companies’ account.</w:t>
      </w:r>
    </w:p>
    <w:sectPr>
      <w:type w:val="continuous"/>
      <w:pgSz w:w="12240" w:h="15840"/>
      <w:pgMar w:left="1440" w:right="144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p>
    <w:pPr>
      <w:pStyle w:val="Footer"/>
      <w:spacing w:lineRule="exact" w:line="200"/>
      <w:ind w:end="360"/>
      <w:rPr>
        <w:rStyle w:val="PageNumber"/>
        <w:rFonts w:ascii="Times New Roman" w:hAnsi="Times New Roman" w:cs="Times New Roman"/>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jc w:val="cen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w:t>
    </w:r>
    <w:r>
      <w:rPr>
        <w:rStyle w:val="PageNumber"/>
        <w:rFonts w:cs="Times New Roman" w:ascii="Times New Roman" w:hAnsi="Times New Roman"/>
      </w:rPr>
      <w:fldChar w:fldCharType="end"/>
    </w:r>
  </w:p>
  <w:p>
    <w:pPr>
      <w:pStyle w:val="Normal"/>
      <w:spacing w:lineRule="exact" w:line="200" w:before="140" w:after="0"/>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/mnt/main-storage/datasets/enron-docs/doc/cuiafixm.doc</w:t>
    </w:r>
    <w:r>
      <w:rPr>
        <w:sz w:val="16"/>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p>
    <w:pPr>
      <w:pStyle w:val="Footer"/>
      <w:spacing w:lineRule="exact" w:line="200"/>
      <w:ind w:end="360"/>
      <w:rPr>
        <w:rStyle w:val="PageNumber"/>
        <w:rFonts w:ascii="Times New Roman" w:hAnsi="Times New Roman" w:cs="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w:t>
    </w:r>
    <w:r>
      <w:rPr>
        <w:rStyle w:val="PageNumber"/>
        <w:rFonts w:cs="Times New Roman" w:ascii="Times New Roman" w:hAnsi="Times New Roman"/>
      </w:rPr>
      <w:fldChar w:fldCharType="end"/>
    </w:r>
  </w:p>
  <w:p>
    <w:pPr>
      <w:pStyle w:val="Normal"/>
      <w:spacing w:lineRule="exact" w:line="200" w:before="140" w:after="0"/>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/mnt/main-storage/datasets/enron-docs/doc/cuiafixm.doc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zzmpFixedDOC_ID" w:val="D\:\'5caccro\'5cCommitment Letter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both"/>
      <w:outlineLvl w:val="0"/>
    </w:pPr>
    <w:rPr>
      <w:rFonts w:ascii="Times New Roman" w:hAnsi="Times New Roman" w:cs="Times New Roman"/>
      <w:spacing w:val="-2"/>
      <w:sz w:val="22"/>
      <w:u w:val="single"/>
    </w:rPr>
  </w:style>
  <w:style w:type="paragraph" w:styleId="Heading2">
    <w:name w:val="heading 2"/>
    <w:basedOn w:val="Normal"/>
    <w:next w:val="Normal"/>
    <w:qFormat/>
    <w:pPr>
      <w:keepNext w:val="true"/>
      <w:numPr>
        <w:ilvl w:val="1"/>
        <w:numId w:val="1"/>
      </w:numPr>
      <w:tabs>
        <w:tab w:val="clear" w:pos="720"/>
        <w:tab w:val="left" w:pos="-720" w:leader="none"/>
        <w:tab w:val="left" w:pos="5040" w:leader="none"/>
      </w:tabs>
      <w:suppressAutoHyphens w:val="true"/>
      <w:jc w:val="both"/>
      <w:outlineLvl w:val="1"/>
    </w:pPr>
    <w:rPr>
      <w:rFonts w:ascii="Times New Roman" w:hAnsi="Times New Roman" w:cs="Times New Roman"/>
      <w:spacing w:val="-2"/>
      <w:sz w:val="22"/>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jc w:val="end"/>
      <w:outlineLvl w:val="3"/>
    </w:pPr>
    <w:rPr>
      <w:rFonts w:ascii="Times New Roman" w:hAnsi="Times New Roman" w:cs="Times New Roman"/>
      <w:spacing w:val="-2"/>
      <w:sz w:val="22"/>
      <w:u w:val="singl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1">
    <w:name w:val="Technical 1"/>
    <w:basedOn w:val="DefaultParagraphFont"/>
    <w:qFormat/>
    <w:rPr>
      <w:rFonts w:ascii="Courier" w:hAnsi="Courier" w:cs="Courier"/>
      <w:sz w:val="24"/>
      <w:lang w:val="en-US"/>
    </w:rPr>
  </w:style>
  <w:style w:type="character" w:styleId="BulletList">
    <w:name w:val="Bullet List"/>
    <w:basedOn w:val="DefaultParagraphFont"/>
    <w:qFormat/>
    <w:rPr/>
  </w:style>
  <w:style w:type="character" w:styleId="EquationCaption">
    <w:name w:val="_Equation Caption"/>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spacing w:val="-2"/>
      <w:sz w:val="16"/>
    </w:rPr>
  </w:style>
  <w:style w:type="paragraph" w:styleId="Heading">
    <w:name w:val="Heading"/>
    <w:basedOn w:val="Normal"/>
    <w:next w:val="BodyText"/>
    <w:qFormat/>
    <w:pPr>
      <w:tabs>
        <w:tab w:val="clear" w:pos="720"/>
        <w:tab w:val="left" w:pos="-720" w:leader="none"/>
      </w:tabs>
      <w:suppressAutoHyphens w:val="true"/>
      <w:jc w:val="center"/>
    </w:pPr>
    <w:rPr>
      <w:rFonts w:ascii="Times New Roman" w:hAnsi="Times New Roman" w:cs="Times New Roman"/>
      <w:b/>
      <w:spacing w:val="-2"/>
      <w:sz w:val="22"/>
    </w:rPr>
  </w:style>
  <w:style w:type="paragraph" w:styleId="BodyText">
    <w:name w:val="Body Text"/>
    <w:basedOn w:val="Normal"/>
    <w:pPr>
      <w:tabs>
        <w:tab w:val="clear" w:pos="720"/>
        <w:tab w:val="left" w:pos="-720" w:leader="none"/>
        <w:tab w:val="left" w:pos="4500" w:leader="none"/>
      </w:tabs>
      <w:suppressAutoHyphens w:val="true"/>
      <w:jc w:val="end"/>
    </w:pPr>
    <w:rPr>
      <w:rFonts w:ascii="Times New Roman" w:hAnsi="Times New Roman" w:cs="Times New Roman"/>
      <w:b/>
      <w:spacing w:val="-2"/>
      <w:sz w:val="22"/>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tabs>
        <w:tab w:val="clear" w:pos="720"/>
        <w:tab w:val="left" w:pos="-720" w:leader="none"/>
        <w:tab w:val="left" w:pos="270" w:leader="none"/>
      </w:tabs>
      <w:suppressAutoHyphens w:val="true"/>
      <w:spacing w:before="0" w:after="240"/>
      <w:ind w:hanging="274" w:start="274" w:end="0"/>
      <w:jc w:val="both"/>
    </w:pPr>
    <w:rPr>
      <w:rFonts w:ascii="Times New Roman" w:hAnsi="Times New Roman" w:cs="Times New Roman"/>
      <w:spacing w:val="-2"/>
      <w:sz w:val="18"/>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ourier" w:hAnsi="Courier" w:eastAsia="Times New Roman" w:cs="Courier"/>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ourier" w:hAnsi="Courier" w:eastAsia="Times New Roman" w:cs="Courier"/>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ourier" w:hAnsi="Courier" w:eastAsia="Times New Roman" w:cs="Courier"/>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ourier" w:hAnsi="Courier" w:eastAsia="Times New Roman" w:cs="Courier"/>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ourier" w:hAnsi="Courier" w:eastAsia="Times New Roman" w:cs="Courier"/>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ourier" w:hAnsi="Courier" w:eastAsia="Times New Roman" w:cs="Courier"/>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ourier" w:hAnsi="Courier" w:eastAsia="Times New Roman" w:cs="Courier"/>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ourier" w:hAnsi="Courier" w:eastAsia="Times New Roman" w:cs="Courier"/>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w:hAnsi="Courier" w:eastAsia="Times New Roman" w:cs="Courier"/>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w:hAnsi="Courier" w:eastAsia="Times New Roman" w:cs="Courier"/>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 w:val="left" w:pos="4320" w:leader="none"/>
      </w:tabs>
      <w:suppressAutoHyphens w:val="true"/>
      <w:jc w:val="both"/>
    </w:pPr>
    <w:rPr>
      <w:rFonts w:ascii="Times New Roman" w:hAnsi="Times New Roman" w:cs="Times New Roman"/>
      <w:spacing w:val="-2"/>
      <w:sz w:val="22"/>
    </w:rPr>
  </w:style>
  <w:style w:type="paragraph" w:styleId="BodyTextIndent3">
    <w:name w:val="Body Text Indent 3"/>
    <w:basedOn w:val="Normal"/>
    <w:qFormat/>
    <w:pPr>
      <w:tabs>
        <w:tab w:val="clear" w:pos="720"/>
        <w:tab w:val="left" w:pos="2880" w:leader="none"/>
        <w:tab w:val="left" w:pos="3600" w:leader="none"/>
        <w:tab w:val="left" w:pos="4320" w:leader="none"/>
      </w:tabs>
      <w:suppressAutoHyphens w:val="true"/>
      <w:ind w:hanging="0" w:start="2880" w:end="0"/>
      <w:jc w:val="both"/>
    </w:pPr>
    <w:rPr>
      <w:rFonts w:ascii="Times New Roman" w:hAnsi="Times New Roman" w:cs="Times New Roman"/>
      <w:spacing w:val="-3"/>
      <w:sz w:val="22"/>
    </w:rPr>
  </w:style>
  <w:style w:type="paragraph" w:styleId="BodyTextIndent">
    <w:name w:val="Body Text Indent"/>
    <w:basedOn w:val="Normal"/>
    <w:pPr>
      <w:tabs>
        <w:tab w:val="clear" w:pos="720"/>
        <w:tab w:val="left" w:pos="2880" w:leader="none"/>
      </w:tabs>
      <w:spacing w:lineRule="atLeast" w:line="240"/>
      <w:ind w:hanging="2880" w:start="2880" w:end="0"/>
      <w:jc w:val="both"/>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2000-07-24T16:16:00Z</dcterms:created>
  <dc:creator>Citibank</dc:creator>
  <dc:description/>
  <dc:language>en-CA</dc:language>
  <cp:lastModifiedBy>bevans</cp:lastModifiedBy>
  <cp:lastPrinted>2000-07-28T13:27:00Z</cp:lastPrinted>
  <dcterms:modified xsi:type="dcterms:W3CDTF">2000-07-28T16:59:00Z</dcterms:modified>
  <cp:revision>7</cp:revision>
  <dc:subject/>
  <dc:title>	  [8/8/96]</dc:title>
</cp:coreProperties>
</file>