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RANDTITRE"/>
        <w:spacing w:before="480" w:after="240"/>
        <w:rPr/>
      </w:pPr>
      <w:r>
        <w:rPr/>
        <w:t>MEMORANDUM  #2</w:t>
      </w:r>
    </w:p>
    <w:tbl>
      <w:tblPr>
        <w:tblW w:w="10220" w:type="dxa"/>
        <w:jc w:val="start"/>
        <w:tblInd w:w="0" w:type="dxa"/>
        <w:tblLayout w:type="fixed"/>
        <w:tblCellMar>
          <w:top w:w="0" w:type="dxa"/>
          <w:start w:w="70" w:type="dxa"/>
          <w:bottom w:w="0" w:type="dxa"/>
          <w:end w:w="70" w:type="dxa"/>
        </w:tblCellMar>
      </w:tblPr>
      <w:tblGrid>
        <w:gridCol w:w="1240"/>
        <w:gridCol w:w="8980"/>
      </w:tblGrid>
      <w:tr>
        <w:trPr/>
        <w:tc>
          <w:tcPr>
            <w:tcW w:w="1240" w:type="dxa"/>
            <w:tcBorders/>
          </w:tcPr>
          <w:p>
            <w:pPr>
              <w:pStyle w:val="Sujet"/>
              <w:spacing w:before="240" w:after="0"/>
              <w:rPr/>
            </w:pPr>
            <w:r>
              <w:rPr/>
              <w:t>TO:</w:t>
            </w:r>
          </w:p>
        </w:tc>
        <w:tc>
          <w:tcPr>
            <w:tcW w:w="8980" w:type="dxa"/>
            <w:tcBorders/>
          </w:tcPr>
          <w:p>
            <w:pPr>
              <w:pStyle w:val="Normal"/>
              <w:spacing w:before="240" w:after="0"/>
              <w:rPr/>
            </w:pPr>
            <w:r>
              <w:rPr/>
              <w:t>MARK GREENBERG</w:t>
            </w:r>
          </w:p>
        </w:tc>
      </w:tr>
      <w:tr>
        <w:trPr/>
        <w:tc>
          <w:tcPr>
            <w:tcW w:w="1240" w:type="dxa"/>
            <w:tcBorders/>
          </w:tcPr>
          <w:p>
            <w:pPr>
              <w:pStyle w:val="Sujet"/>
              <w:spacing w:before="240" w:after="0"/>
              <w:rPr/>
            </w:pPr>
            <w:r>
              <w:rPr/>
              <w:t>c.C.:</w:t>
            </w:r>
          </w:p>
        </w:tc>
        <w:tc>
          <w:tcPr>
            <w:tcW w:w="8980" w:type="dxa"/>
            <w:tcBorders/>
          </w:tcPr>
          <w:p>
            <w:pPr>
              <w:pStyle w:val="Normal"/>
              <w:spacing w:before="240" w:after="0"/>
              <w:rPr/>
            </w:pPr>
            <w:r>
              <w:rPr/>
              <w:t>PAUL D. BLUNDY, RICK JOHNSON, PATRICK MACKIN</w:t>
            </w:r>
          </w:p>
        </w:tc>
      </w:tr>
      <w:tr>
        <w:trPr/>
        <w:tc>
          <w:tcPr>
            <w:tcW w:w="1240" w:type="dxa"/>
            <w:tcBorders/>
          </w:tcPr>
          <w:p>
            <w:pPr>
              <w:pStyle w:val="Sujet"/>
              <w:spacing w:before="240" w:after="0"/>
              <w:rPr/>
            </w:pPr>
            <w:r>
              <w:rPr/>
              <w:t>FROM:</w:t>
            </w:r>
          </w:p>
        </w:tc>
        <w:tc>
          <w:tcPr>
            <w:tcW w:w="8980" w:type="dxa"/>
            <w:tcBorders/>
          </w:tcPr>
          <w:p>
            <w:pPr>
              <w:pStyle w:val="Normal"/>
              <w:spacing w:before="240" w:after="0"/>
              <w:rPr/>
            </w:pPr>
            <w:r>
              <w:rPr/>
              <w:t>ROLAND MASSICOTTE</w:t>
            </w:r>
          </w:p>
        </w:tc>
      </w:tr>
      <w:tr>
        <w:trPr/>
        <w:tc>
          <w:tcPr>
            <w:tcW w:w="1240" w:type="dxa"/>
            <w:tcBorders/>
          </w:tcPr>
          <w:p>
            <w:pPr>
              <w:pStyle w:val="Sujet"/>
              <w:spacing w:before="240" w:after="0"/>
              <w:rPr/>
            </w:pPr>
            <w:r>
              <w:rPr/>
              <w:t>DATE:</w:t>
            </w:r>
          </w:p>
        </w:tc>
        <w:tc>
          <w:tcPr>
            <w:tcW w:w="8980" w:type="dxa"/>
            <w:tcBorders/>
          </w:tcPr>
          <w:p>
            <w:pPr>
              <w:pStyle w:val="Normal"/>
              <w:spacing w:before="240" w:after="0"/>
              <w:rPr/>
            </w:pPr>
            <w:r>
              <w:rPr/>
              <w:t>September 8, 2000</w:t>
            </w:r>
          </w:p>
        </w:tc>
      </w:tr>
      <w:tr>
        <w:trPr/>
        <w:tc>
          <w:tcPr>
            <w:tcW w:w="1240" w:type="dxa"/>
            <w:tcBorders/>
          </w:tcPr>
          <w:p>
            <w:pPr>
              <w:pStyle w:val="Sujet"/>
              <w:spacing w:before="240" w:after="0"/>
              <w:rPr/>
            </w:pPr>
            <w:r>
              <w:rPr/>
              <w:t>RE:</w:t>
            </w:r>
          </w:p>
        </w:tc>
        <w:tc>
          <w:tcPr>
            <w:tcW w:w="8980" w:type="dxa"/>
            <w:tcBorders/>
          </w:tcPr>
          <w:p>
            <w:pPr>
              <w:pStyle w:val="Normal"/>
              <w:spacing w:before="240" w:after="0"/>
              <w:rPr/>
            </w:pPr>
            <w:r>
              <w:rPr/>
              <w:t>Project Crane Due Diligence</w:t>
            </w:r>
          </w:p>
        </w:tc>
      </w:tr>
      <w:tr>
        <w:trPr/>
        <w:tc>
          <w:tcPr>
            <w:tcW w:w="1240" w:type="dxa"/>
            <w:tcBorders/>
          </w:tcPr>
          <w:p>
            <w:pPr>
              <w:pStyle w:val="Sujet"/>
              <w:spacing w:before="240" w:after="0"/>
              <w:rPr/>
            </w:pPr>
            <w:r>
              <w:rPr/>
              <w:t>SUBJECT:</w:t>
            </w:r>
          </w:p>
        </w:tc>
        <w:tc>
          <w:tcPr>
            <w:tcW w:w="8980" w:type="dxa"/>
            <w:tcBorders/>
          </w:tcPr>
          <w:p>
            <w:pPr>
              <w:pStyle w:val="Normal"/>
              <w:spacing w:before="240" w:after="0"/>
              <w:rPr/>
            </w:pPr>
            <w:r>
              <w:rPr/>
              <w:t>SEPARATION ALLOWANCES TO NON-UNIONIZED EMPLOYEES</w:t>
            </w:r>
          </w:p>
        </w:tc>
      </w:tr>
      <w:tr>
        <w:trPr/>
        <w:tc>
          <w:tcPr>
            <w:tcW w:w="1240" w:type="dxa"/>
            <w:tcBorders/>
          </w:tcPr>
          <w:p>
            <w:pPr>
              <w:pStyle w:val="Sujet"/>
              <w:spacing w:before="240" w:after="0"/>
              <w:rPr/>
            </w:pPr>
            <w:r>
              <w:rPr/>
              <w:t>FILE:</w:t>
            </w:r>
          </w:p>
        </w:tc>
        <w:tc>
          <w:tcPr>
            <w:tcW w:w="8980" w:type="dxa"/>
            <w:tcBorders/>
          </w:tcPr>
          <w:p>
            <w:pPr>
              <w:pStyle w:val="Normal"/>
              <w:spacing w:before="240" w:after="0"/>
              <w:rPr/>
            </w:pPr>
            <w:r>
              <w:rPr/>
              <w:t>BENJ.40387</w:t>
            </w:r>
          </w:p>
        </w:tc>
      </w:tr>
      <w:tr>
        <w:trPr>
          <w:trHeight w:val="120" w:hRule="exact"/>
        </w:trPr>
        <w:tc>
          <w:tcPr>
            <w:tcW w:w="1240" w:type="dxa"/>
            <w:tcBorders>
              <w:bottom w:val="single" w:sz="4" w:space="0" w:color="000000"/>
            </w:tcBorders>
          </w:tcPr>
          <w:p>
            <w:pPr>
              <w:pStyle w:val="Header"/>
              <w:tabs>
                <w:tab w:val="clear" w:pos="4320"/>
                <w:tab w:val="clear" w:pos="8640"/>
              </w:tabs>
              <w:snapToGrid w:val="false"/>
              <w:spacing w:before="240" w:after="240"/>
              <w:rPr/>
            </w:pPr>
            <w:r>
              <w:rPr/>
            </w:r>
          </w:p>
        </w:tc>
        <w:tc>
          <w:tcPr>
            <w:tcW w:w="8980" w:type="dxa"/>
            <w:tcBorders>
              <w:bottom w:val="single" w:sz="4" w:space="0" w:color="000000"/>
            </w:tcBorders>
          </w:tcPr>
          <w:p>
            <w:pPr>
              <w:pStyle w:val="Normal"/>
              <w:snapToGrid w:val="false"/>
              <w:spacing w:before="240" w:after="0"/>
              <w:rPr/>
            </w:pPr>
            <w:r>
              <w:rPr/>
            </w:r>
          </w:p>
        </w:tc>
      </w:tr>
      <w:tr>
        <w:trPr>
          <w:trHeight w:val="600" w:hRule="exact"/>
        </w:trPr>
        <w:tc>
          <w:tcPr>
            <w:tcW w:w="1240" w:type="dxa"/>
            <w:tcBorders/>
          </w:tcPr>
          <w:p>
            <w:pPr>
              <w:pStyle w:val="Header"/>
              <w:tabs>
                <w:tab w:val="clear" w:pos="4320"/>
                <w:tab w:val="clear" w:pos="8640"/>
              </w:tabs>
              <w:snapToGrid w:val="false"/>
              <w:spacing w:before="240" w:after="240"/>
              <w:rPr/>
            </w:pPr>
            <w:r>
              <w:rPr/>
            </w:r>
          </w:p>
        </w:tc>
        <w:tc>
          <w:tcPr>
            <w:tcW w:w="8980" w:type="dxa"/>
            <w:tcBorders/>
          </w:tcPr>
          <w:p>
            <w:pPr>
              <w:pStyle w:val="Normal"/>
              <w:snapToGrid w:val="false"/>
              <w:spacing w:before="240" w:after="0"/>
              <w:rPr/>
            </w:pPr>
            <w:r>
              <w:rPr/>
            </w:r>
          </w:p>
        </w:tc>
      </w:tr>
    </w:tbl>
    <w:p>
      <w:pPr>
        <w:pStyle w:val="Paragraphe1"/>
        <w:rPr/>
      </w:pPr>
      <w:r>
        <w:rPr/>
        <w:t>In the course of the above-mentioned due diligence, I have reviewed Daishowa Inc. Corporate Human Resources Policies related more particularly to separation allowances to non-unionized employees.</w:t>
      </w:r>
    </w:p>
    <w:p>
      <w:pPr>
        <w:pStyle w:val="Paragraphe1"/>
        <w:rPr/>
      </w:pPr>
      <w:r>
        <w:rPr/>
        <w:t>The employees eligible to separation allowance are the following:</w:t>
      </w:r>
    </w:p>
    <w:p>
      <w:pPr>
        <w:pStyle w:val="Paragraphe1"/>
        <w:ind w:firstLine="709" w:end="0"/>
        <w:rPr/>
      </w:pPr>
      <w:r>
        <w:rPr/>
        <w:t>Group A:</w:t>
        <w:tab/>
        <w:t>Vice-presidents;</w:t>
      </w:r>
    </w:p>
    <w:p>
      <w:pPr>
        <w:pStyle w:val="Paragraphe1"/>
        <w:ind w:firstLine="709" w:end="0"/>
        <w:rPr/>
      </w:pPr>
      <w:r>
        <w:rPr/>
        <w:t>Group B:</w:t>
        <w:tab/>
        <w:t>Senior Corporate Functional Heads and General Manager;</w:t>
      </w:r>
    </w:p>
    <w:p>
      <w:pPr>
        <w:pStyle w:val="Paragraphe1"/>
        <w:ind w:firstLine="349" w:start="360" w:end="0"/>
        <w:rPr/>
      </w:pPr>
      <w:r>
        <w:rPr/>
        <w:t>Group C:</w:t>
        <w:tab/>
        <w:t>Managers;</w:t>
      </w:r>
    </w:p>
    <w:p>
      <w:pPr>
        <w:pStyle w:val="Paragraphe1"/>
        <w:ind w:firstLine="709" w:end="0"/>
        <w:rPr/>
      </w:pPr>
      <w:r>
        <w:rPr/>
        <w:t>Group D:</w:t>
        <w:tab/>
        <w:t>All other staff non-unionized employees.</w:t>
      </w:r>
    </w:p>
    <w:p>
      <w:pPr>
        <w:pStyle w:val="Paragraphe1"/>
        <w:rPr/>
      </w:pPr>
      <w:r>
        <w:rPr/>
        <w:t>For each of the above-mentioned groups, the separation allowances are the following:</w:t>
        <w:tab/>
      </w:r>
    </w:p>
    <w:p>
      <w:pPr>
        <w:pStyle w:val="Paragraphe1"/>
        <w:ind w:firstLine="709" w:end="0"/>
        <w:rPr/>
      </w:pPr>
      <w:r>
        <w:rPr/>
        <w:t>Group A:</w:t>
        <w:tab/>
        <w:t>24 months salary;</w:t>
      </w:r>
    </w:p>
    <w:p>
      <w:pPr>
        <w:pStyle w:val="Paragraphe1"/>
        <w:ind w:hanging="1418" w:start="2127" w:end="0"/>
        <w:rPr/>
      </w:pPr>
      <w:r>
        <w:rPr/>
        <w:t>Group B:</w:t>
        <w:tab/>
        <w:t>one month salary per year of service with a minimum allowance of 12 months salary and a maximum of 18 months salary;</w:t>
      </w:r>
    </w:p>
    <w:p>
      <w:pPr>
        <w:pStyle w:val="Paragraphe1"/>
        <w:ind w:hanging="1418" w:start="2127" w:end="0"/>
        <w:rPr/>
      </w:pPr>
      <w:r>
        <w:rPr/>
        <w:t>Group C:</w:t>
        <w:tab/>
        <w:t>one month salary per year of service with a minimum allowance of 9 months salary and a maximum of 15 months salary;</w:t>
      </w:r>
    </w:p>
    <w:p>
      <w:pPr>
        <w:pStyle w:val="Paragraphe1"/>
        <w:ind w:hanging="1418" w:start="2127" w:end="0"/>
        <w:rPr/>
      </w:pPr>
      <w:r>
        <w:rPr/>
        <w:t>Group D:</w:t>
        <w:tab/>
        <w:t>one month salary per year of service with a minimum allowance of 2 months salary and a maximum of 12 months salary;</w:t>
      </w:r>
    </w:p>
    <w:p>
      <w:pPr>
        <w:pStyle w:val="Paragraphe1"/>
        <w:rPr/>
      </w:pPr>
      <w:r>
        <w:rPr/>
        <w:t>Payment of the separation allowance will be in the form of a lump sum or salary continuance at the Company's discretion.</w:t>
      </w:r>
    </w:p>
    <w:p>
      <w:pPr>
        <w:pStyle w:val="Paragraphe1"/>
        <w:rPr/>
      </w:pPr>
      <w:r>
        <w:rPr/>
        <w:t>The following benefits are continued at Company's expenses for a period equal to the separation allowance, to a maximum of 12 months or until alternate employment is obtained, whichever comes first:</w:t>
      </w:r>
    </w:p>
    <w:p>
      <w:pPr>
        <w:pStyle w:val="Heading3"/>
        <w:ind w:hanging="0" w:start="0"/>
        <w:rPr/>
      </w:pPr>
      <w:r>
        <w:rPr/>
        <w:t>basic and optional life insurance;</w:t>
      </w:r>
    </w:p>
    <w:p>
      <w:pPr>
        <w:pStyle w:val="Heading3"/>
        <w:ind w:hanging="0" w:start="0"/>
        <w:rPr/>
      </w:pPr>
      <w:r>
        <w:rPr/>
        <w:t>extended health care;</w:t>
      </w:r>
    </w:p>
    <w:p>
      <w:pPr>
        <w:pStyle w:val="Heading3"/>
        <w:ind w:hanging="0" w:start="0"/>
        <w:rPr/>
      </w:pPr>
      <w:r>
        <w:rPr/>
        <w:t>dental benefits.</w:t>
      </w:r>
    </w:p>
    <w:p>
      <w:pPr>
        <w:pStyle w:val="Paragraphe1"/>
        <w:rPr/>
      </w:pPr>
      <w:r>
        <w:rPr/>
        <w:t>Terminated employees will be given a period of three (3) months from the date of termination to decide on the purchase or return of their Company's leased automobile.  Company's policies with regard to operating expenses of the automobile will apply during the above three (3) months.</w:t>
      </w:r>
    </w:p>
    <w:p>
      <w:pPr>
        <w:pStyle w:val="Paragraphe1"/>
        <w:rPr/>
      </w:pPr>
      <w:r>
        <w:rPr/>
        <w:t>Bonus to employees participating in the Company Incentive Plan will be prorated based on the date of termination.</w:t>
      </w:r>
    </w:p>
    <w:p>
      <w:pPr>
        <w:pStyle w:val="Paragraphe1"/>
        <w:spacing w:before="0" w:after="120"/>
        <w:rPr/>
      </w:pPr>
      <w:r>
        <w:rPr/>
        <w:t>Yours very truly,</w:t>
      </w:r>
    </w:p>
    <w:p>
      <w:pPr>
        <w:pStyle w:val="LapointeRosenstein"/>
        <w:spacing w:before="240" w:after="840"/>
        <w:rPr>
          <w:rStyle w:val="PageNumber"/>
        </w:rPr>
      </w:pPr>
      <w:r>
        <w:rPr/>
        <w:t>Lapointe Rosenstein</w:t>
      </w:r>
    </w:p>
    <w:p>
      <w:pPr>
        <w:pStyle w:val="Per"/>
        <w:rPr/>
      </w:pPr>
      <w:r>
        <w:rPr/>
        <w:t>Per:</w:t>
      </w:r>
    </w:p>
    <w:p>
      <w:pPr>
        <w:pStyle w:val="LapointeANG"/>
        <w:rPr>
          <w:sz w:val="20"/>
        </w:rPr>
      </w:pPr>
      <w:r>
        <w:fldChar w:fldCharType="begin"/>
      </w:r>
      <w:r>
        <w:rPr/>
        <w:instrText xml:space="preserve"> LISTINSERTIONAUTO \s "Lapointe ANG" \* FUSIONFORMAT </w:instrText>
      </w:r>
      <w:r>
        <w:rPr/>
      </w:r>
      <w:r>
        <w:rPr/>
        <w:fldChar w:fldCharType="separate"/>
      </w:r>
      <w:r>
        <w:t>Roland Massicotte</w:t>
      </w:r>
      <w:r>
        <w:rPr/>
      </w:r>
    </w:p>
    <w:p>
      <w:pPr>
        <w:pStyle w:val="LapointeANG"/>
        <w:rPr>
          <w:sz w:val="18"/>
        </w:rPr>
      </w:pPr>
      <w:r>
        <w:rPr>
          <w:sz w:val="18"/>
        </w:rPr>
        <w:t>Direct Line: (514) 925-6326</w:t>
      </w:r>
    </w:p>
    <w:p>
      <w:pPr>
        <w:pStyle w:val="LapointeANG"/>
        <w:rPr>
          <w:sz w:val="18"/>
        </w:rPr>
      </w:pPr>
      <w:r>
        <w:rPr>
          <w:sz w:val="18"/>
        </w:rPr>
        <w:t xml:space="preserve">E-Mail: </w:t>
      </w:r>
      <w:hyperlink r:id="rId2">
        <w:r>
          <w:rPr>
            <w:rStyle w:val="Hyperlink"/>
          </w:rPr>
          <w:t>massicotter@lapros.qc.ca</w:t>
        </w:r>
      </w:hyperlink>
    </w:p>
    <w:p>
      <w:pPr>
        <w:pStyle w:val="LapointeANG"/>
        <w:rPr>
          <w:lang w:val="fr-CA"/>
        </w:rPr>
      </w:pPr>
      <w:r/>
      <w:r>
        <w:rPr>
          <w:sz w:val="18"/>
        </w:rPr>
        <w:fldChar w:fldCharType="end"/>
      </w:r>
      <w:r>
        <w:rPr>
          <w:sz w:val="18"/>
        </w:rPr>
      </w:r>
    </w:p>
    <w:p>
      <w:pPr>
        <w:pStyle w:val="LapointeANG"/>
        <w:rPr/>
      </w:pPr>
      <w:r>
        <w:rPr/>
        <w:t>RM/jb</w:t>
      </w:r>
    </w:p>
    <w:p>
      <w:pPr>
        <w:pStyle w:val="Paragraphe1"/>
        <w:rPr/>
      </w:pPr>
      <w:r>
        <w:rPr/>
      </w:r>
    </w:p>
    <w:p>
      <w:pPr>
        <w:pStyle w:val="Numrodedocument"/>
        <w:rPr/>
      </w:pPr>
      <w:r>
        <w:rPr/>
        <w:t>(598254)</w:t>
      </w:r>
    </w:p>
    <w:sectPr>
      <w:headerReference w:type="default" r:id="rId3"/>
      <w:headerReference w:type="first" r:id="rId4"/>
      <w:footerReference w:type="default" r:id="rId5"/>
      <w:footerReference w:type="first" r:id="rId6"/>
      <w:type w:val="nextPage"/>
      <w:pgSz w:w="12240" w:h="15840"/>
      <w:pgMar w:left="1080" w:right="1080" w:gutter="0" w:header="346" w:top="402" w:footer="21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40" w:type="dxa"/>
      <w:jc w:val="center"/>
      <w:tblInd w:w="0" w:type="dxa"/>
      <w:tblLayout w:type="fixed"/>
      <w:tblCellMar>
        <w:top w:w="0" w:type="dxa"/>
        <w:start w:w="70" w:type="dxa"/>
        <w:bottom w:w="0" w:type="dxa"/>
        <w:end w:w="70" w:type="dxa"/>
      </w:tblCellMar>
    </w:tblPr>
    <w:tblGrid>
      <w:gridCol w:w="11340"/>
    </w:tblGrid>
    <w:tr>
      <w:trPr/>
      <w:tc>
        <w:tcPr>
          <w:tcW w:w="11340" w:type="dxa"/>
          <w:tcBorders/>
        </w:tcPr>
        <w:p>
          <w:pPr>
            <w:pStyle w:val="Footer"/>
            <w:jc w:val="center"/>
            <w:rPr>
              <w:rFonts w:ascii="Gill Sans" w:hAnsi="Gill Sans" w:cs="Gill Sans"/>
              <w:smallCaps/>
              <w:sz w:val="18"/>
            </w:rPr>
          </w:pPr>
          <w:r>
            <w:rPr>
              <w:rFonts w:cs="Gill Sans" w:ascii="Gill Sans" w:hAnsi="Gill Sans"/>
              <w:smallCaps/>
              <w:sz w:val="18"/>
            </w:rPr>
            <w:t>trade mark agents</w:t>
          </w:r>
        </w:p>
      </w:tc>
    </w:tr>
    <w:tr>
      <w:trPr/>
      <w:tc>
        <w:tcPr>
          <w:tcW w:w="11340" w:type="dxa"/>
          <w:tcBorders>
            <w:top w:val="single" w:sz="4" w:space="0" w:color="000000"/>
          </w:tcBorders>
        </w:tcPr>
        <w:p>
          <w:pPr>
            <w:pStyle w:val="Footer"/>
            <w:spacing w:lineRule="exact" w:line="200"/>
            <w:jc w:val="center"/>
            <w:rPr>
              <w:rFonts w:ascii="Gill Sans" w:hAnsi="Gill Sans" w:cs="Gill Sans"/>
              <w:spacing w:val="-2"/>
              <w:sz w:val="16"/>
            </w:rPr>
          </w:pPr>
          <w:r>
            <w:rPr>
              <w:rFonts w:cs="Gill Sans" w:ascii="Gill Sans" w:hAnsi="Gill Sans"/>
              <w:spacing w:val="-2"/>
              <w:sz w:val="16"/>
            </w:rPr>
            <w:t xml:space="preserve">1250 René-Lévesque West, Suite 1400, Montreal, Quebec H3B 5E9  Telephone: (514) 925-6300  Telecopier: (514) 925-9001  E-Mail: </w:t>
          </w:r>
          <w:hyperlink r:id="rId1">
            <w:r>
              <w:rPr>
                <w:rStyle w:val="Hyperlink"/>
                <w:rFonts w:cs="Gill Sans" w:ascii="Gill Sans" w:hAnsi="Gill Sans"/>
                <w:spacing w:val="-2"/>
                <w:sz w:val="16"/>
              </w:rPr>
              <w:t>general@lapros.qc.ca</w:t>
            </w:r>
          </w:hyperlink>
        </w:p>
        <w:p>
          <w:pPr>
            <w:pStyle w:val="Footer"/>
            <w:spacing w:lineRule="exact" w:line="200"/>
            <w:jc w:val="center"/>
            <w:rPr>
              <w:rFonts w:ascii="Gill Sans" w:hAnsi="Gill Sans" w:cs="Gill Sans"/>
              <w:spacing w:val="-2"/>
              <w:sz w:val="16"/>
            </w:rPr>
          </w:pPr>
          <w:r>
            <w:rPr>
              <w:rFonts w:cs="Gill Sans" w:ascii="Gill Sans" w:hAnsi="Gill Sans"/>
              <w:spacing w:val="-2"/>
              <w:sz w:val="16"/>
            </w:rPr>
            <w:t>http://www.lapros.qc.ca</w:t>
          </w:r>
        </w:p>
      </w:tc>
    </w:tr>
  </w:tbl>
  <w:p>
    <w:pPr>
      <w:pStyle w:val="Footer"/>
      <w:jc w:val="center"/>
      <w:rPr>
        <w:spacing w:val="-8"/>
        <w:sz w:val="14"/>
      </w:rPr>
    </w:pPr>
    <w:r>
      <w:rPr>
        <w:spacing w:val="-8"/>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438" w:type="dxa"/>
      <w:jc w:val="center"/>
      <w:tblInd w:w="0" w:type="dxa"/>
      <w:tblLayout w:type="fixed"/>
      <w:tblCellMar>
        <w:top w:w="0" w:type="dxa"/>
        <w:start w:w="70" w:type="dxa"/>
        <w:bottom w:w="0" w:type="dxa"/>
        <w:end w:w="70" w:type="dxa"/>
      </w:tblCellMar>
    </w:tblPr>
    <w:tblGrid>
      <w:gridCol w:w="2438"/>
    </w:tblGrid>
    <w:tr>
      <w:trPr>
        <w:trHeight w:val="737" w:hRule="exact"/>
      </w:trPr>
      <w:tc>
        <w:tcPr>
          <w:tcW w:w="2438" w:type="dxa"/>
          <w:tcBorders>
            <w:top w:val="single" w:sz="4" w:space="0" w:color="000000"/>
            <w:start w:val="single" w:sz="4" w:space="0" w:color="000000"/>
            <w:bottom w:val="single" w:sz="4" w:space="0" w:color="000000"/>
            <w:end w:val="single" w:sz="4" w:space="0" w:color="000000"/>
          </w:tcBorders>
          <w:shd w:fill="000000" w:val="clear"/>
          <w:vAlign w:val="center"/>
        </w:tcPr>
        <w:p>
          <w:pPr>
            <w:pStyle w:val="Header"/>
            <w:jc w:val="center"/>
            <w:rPr>
              <w:rFonts w:ascii="Garamond" w:hAnsi="Garamond" w:cs="Garamond"/>
            </w:rPr>
          </w:pPr>
          <w:r>
            <w:rPr>
              <w:rFonts w:cs="Garamond" w:ascii="Garamond" w:hAnsi="Garamond"/>
            </w:rPr>
            <w:t>Lapointe Rosenstein</w:t>
          </w:r>
        </w:p>
      </w:tc>
    </w:tr>
    <w:tr>
      <w:trPr>
        <w:trHeight w:val="680" w:hRule="exact"/>
      </w:trPr>
      <w:tc>
        <w:tcPr>
          <w:tcW w:w="2438" w:type="dxa"/>
          <w:tcBorders>
            <w:top w:val="single" w:sz="4" w:space="0" w:color="000000"/>
            <w:start w:val="single" w:sz="4" w:space="0" w:color="000000"/>
            <w:bottom w:val="single" w:sz="4" w:space="0" w:color="000000"/>
            <w:end w:val="single" w:sz="4" w:space="0" w:color="000000"/>
          </w:tcBorders>
          <w:vAlign w:val="center"/>
        </w:tcPr>
        <w:p>
          <w:pPr>
            <w:pStyle w:val="Header"/>
            <w:snapToGrid w:val="false"/>
            <w:jc w:val="center"/>
            <w:rPr>
              <w:rFonts w:ascii="Garamond" w:hAnsi="Garamond" w:cs="Garamond"/>
              <w:color w:val="FFFFFF"/>
              <w:sz w:val="18"/>
            </w:rPr>
          </w:pPr>
          <w:r>
            <w:rPr>
              <w:rFonts w:cs="Garamond" w:ascii="Garamond" w:hAnsi="Garamond"/>
              <w:color w:val="FFFFFF"/>
              <w:sz w:val="18"/>
            </w:rPr>
          </w:r>
        </w:p>
      </w:tc>
    </w:tr>
  </w:tbl>
  <w:p>
    <w:pPr>
      <w:pStyle w:val="Header"/>
      <w:jc w:val="center"/>
      <w:rPr>
        <w:rFonts w:ascii="Times New Roman" w:hAnsi="Times New Roman" w:cs="Times New Roman"/>
      </w:rPr>
    </w:pPr>
    <w:r>
      <w:rPr>
        <w:rFonts w:cs="Times New Roman" w:ascii="Times New Roman" w:hAnsi="Times New Roman"/>
      </w:rPr>
    </w:r>
  </w:p>
  <w:p>
    <w:pPr>
      <w:pStyle w:val="Header"/>
      <w:spacing w:before="0" w:after="240"/>
      <w:jc w:val="center"/>
      <w:rPr/>
    </w:pPr>
    <w:r>
      <w:rPr/>
      <w:t>–</w:t>
    </w:r>
    <w:r>
      <w:rPr>
        <w:rFonts w:eastAsia="Arial"/>
      </w:rPr>
      <w:t xml:space="preserve"> </w:t>
    </w:r>
    <w:r>
      <w:rPr/>
      <w:fldChar w:fldCharType="begin"/>
    </w:r>
    <w:r>
      <w:rPr/>
      <w:instrText xml:space="preserve"> PAGE </w:instrText>
    </w:r>
    <w:r>
      <w:rPr/>
      <w:fldChar w:fldCharType="separate"/>
    </w:r>
    <w:r>
      <w:rPr/>
      <w:t>2</w:t>
    </w:r>
    <w:r>
      <w:rPr/>
      <w:fldChar w:fldCharType="end"/>
    </w:r>
    <w:r>
      <w:rPr>
        <w:rFonts w:eastAsia="Arial"/>
      </w:rPr>
      <w:t xml:space="preserve"> </w:t>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402" w:type="dxa"/>
      <w:jc w:val="center"/>
      <w:tblInd w:w="0" w:type="dxa"/>
      <w:tblLayout w:type="fixed"/>
      <w:tblCellMar>
        <w:top w:w="0" w:type="dxa"/>
        <w:start w:w="70" w:type="dxa"/>
        <w:bottom w:w="0" w:type="dxa"/>
        <w:end w:w="70" w:type="dxa"/>
      </w:tblCellMar>
    </w:tblPr>
    <w:tblGrid>
      <w:gridCol w:w="3402"/>
    </w:tblGrid>
    <w:tr>
      <w:trPr>
        <w:trHeight w:val="1021" w:hRule="exact"/>
      </w:trPr>
      <w:tc>
        <w:tcPr>
          <w:tcW w:w="3402" w:type="dxa"/>
          <w:tcBorders>
            <w:top w:val="single" w:sz="4" w:space="0" w:color="000000"/>
            <w:start w:val="single" w:sz="4" w:space="0" w:color="000000"/>
            <w:bottom w:val="single" w:sz="4" w:space="0" w:color="000000"/>
            <w:end w:val="single" w:sz="4" w:space="0" w:color="000000"/>
          </w:tcBorders>
          <w:shd w:fill="000000" w:val="clear"/>
          <w:vAlign w:val="center"/>
        </w:tcPr>
        <w:p>
          <w:pPr>
            <w:pStyle w:val="Logo"/>
            <w:rPr/>
          </w:pPr>
          <w:r>
            <w:rPr/>
            <w:t>Lapointe Rosenstein</w:t>
          </w:r>
        </w:p>
      </w:tc>
    </w:tr>
    <w:tr>
      <w:trPr>
        <w:trHeight w:val="907" w:hRule="exact"/>
      </w:trPr>
      <w:tc>
        <w:tcPr>
          <w:tcW w:w="3402" w:type="dxa"/>
          <w:tcBorders>
            <w:start w:val="single" w:sz="4" w:space="0" w:color="000000"/>
            <w:bottom w:val="single" w:sz="4" w:space="0" w:color="000000"/>
            <w:end w:val="single" w:sz="4" w:space="0" w:color="000000"/>
          </w:tcBorders>
          <w:shd w:fill="FFFFFF" w:val="clear"/>
          <w:vAlign w:val="center"/>
        </w:tcPr>
        <w:p>
          <w:pPr>
            <w:pStyle w:val="Logo"/>
            <w:rPr>
              <w:rFonts w:ascii="Gill Sans" w:hAnsi="Gill Sans" w:cs="Gill Sans"/>
              <w:smallCaps/>
              <w:spacing w:val="16"/>
              <w:sz w:val="16"/>
            </w:rPr>
          </w:pPr>
          <w:r>
            <w:rPr>
              <w:rFonts w:cs="Gill Sans" w:ascii="Gill Sans" w:hAnsi="Gill Sans"/>
              <w:smallCaps/>
              <w:spacing w:val="16"/>
              <w:sz w:val="16"/>
            </w:rPr>
            <w:t>a general partnership</w:t>
          </w:r>
        </w:p>
        <w:p>
          <w:pPr>
            <w:pStyle w:val="Logo"/>
            <w:rPr>
              <w:spacing w:val="36"/>
              <w:sz w:val="25"/>
            </w:rPr>
          </w:pPr>
          <w:r>
            <w:rPr>
              <w:spacing w:val="36"/>
              <w:sz w:val="25"/>
            </w:rPr>
            <w:t>Barristers &amp; Solicitors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720"/>
        </w:tabs>
        <w:ind w:start="720" w:hanging="720"/>
      </w:p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pStyle w:val="Heading5"/>
      <w:numFmt w:val="bullet"/>
      <w:lvlText w:val=""/>
      <w:lvlJc w:val="start"/>
      <w:pPr>
        <w:tabs>
          <w:tab w:val="num" w:pos="2160"/>
        </w:tabs>
        <w:ind w:start="2160" w:hanging="720"/>
      </w:pPr>
      <w:rPr>
        <w:rFonts w:ascii="Symbol" w:hAnsi="Symbol" w:cs="Symbol" w:hint="default"/>
        <w:color w:val="auto"/>
      </w:rPr>
    </w:lvl>
    <w:lvl w:ilvl="5">
      <w:start w:val="1"/>
      <w:numFmt w:val="lowerLetter"/>
      <w:lvlText w:val="%6)"/>
      <w:lvlJc w:val="start"/>
      <w:pPr>
        <w:tabs>
          <w:tab w:val="num" w:pos="2880"/>
        </w:tabs>
        <w:ind w:start="2880" w:hanging="720"/>
      </w:pPr>
    </w:lvl>
    <w:lvl w:ilvl="6">
      <w:start w:val="1"/>
      <w:numFmt w:val="lowerRoman"/>
      <w:lvlText w:val="%7)"/>
      <w:lvlJc w:val="start"/>
      <w:pPr>
        <w:tabs>
          <w:tab w:val="num" w:pos="3600"/>
        </w:tabs>
        <w:ind w:start="3600" w:hanging="720"/>
      </w:pPr>
    </w:lvl>
    <w:lvl w:ilvl="7">
      <w:start w:val="1"/>
      <w:numFmt w:val="upperRoman"/>
      <w:lvlText w:val="%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CA" w:eastAsia="zh-CN" w:bidi="hi-IN"/>
    </w:rPr>
  </w:style>
  <w:style w:type="paragraph" w:styleId="Heading1">
    <w:name w:val="heading 1"/>
    <w:basedOn w:val="Normal"/>
    <w:next w:val="BodyText"/>
    <w:qFormat/>
    <w:pPr>
      <w:numPr>
        <w:ilvl w:val="0"/>
        <w:numId w:val="1"/>
      </w:numPr>
      <w:tabs>
        <w:tab w:val="clear" w:pos="709"/>
        <w:tab w:val="left" w:pos="720" w:leader="none"/>
      </w:tabs>
      <w:spacing w:before="0" w:after="240"/>
      <w:jc w:val="both"/>
      <w:outlineLvl w:val="0"/>
    </w:pPr>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4">
    <w:name w:val="WW8Num4z4"/>
    <w:qFormat/>
    <w:rPr>
      <w:rFonts w:ascii="Symbol" w:hAnsi="Symbol" w:cs="Symbol"/>
      <w:color w:val="auto"/>
    </w:rPr>
  </w:style>
  <w:style w:type="character" w:styleId="WW8Num5z0">
    <w:name w:val="WW8Num5z0"/>
    <w:qFormat/>
    <w:rPr>
      <w:rFonts w:ascii="Times New Roman" w:hAnsi="Times New Roman" w:cs="Times New Roman"/>
    </w:rPr>
  </w:style>
  <w:style w:type="character" w:styleId="Policepardfaut">
    <w:name w:val="Police par défaut"/>
    <w:qFormat/>
    <w:rPr/>
  </w:style>
  <w:style w:type="character" w:styleId="Hyperlink">
    <w:name w:val="Hyperlink"/>
    <w:basedOn w:val="Policepardfaut"/>
    <w:rPr>
      <w:rFonts w:ascii="Times New Roman" w:hAnsi="Times New Roman" w:cs="Times New Roman"/>
      <w:color w:val="auto"/>
      <w:sz w:val="18"/>
      <w:u w:val="none"/>
    </w:rPr>
  </w:style>
  <w:style w:type="character" w:styleId="PageNumber">
    <w:name w:val="page number"/>
    <w:basedOn w:val="Policepardfau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320" w:leader="none"/>
        <w:tab w:val="right" w:pos="8640" w:leader="none"/>
      </w:tabs>
    </w:pPr>
    <w:rPr/>
  </w:style>
  <w:style w:type="paragraph" w:styleId="BodyTextIndent">
    <w:name w:val="Body Text Indent"/>
    <w:basedOn w:val="Normal"/>
    <w:pPr>
      <w:spacing w:before="0" w:after="240"/>
      <w:ind w:hanging="0" w:start="720" w:end="720"/>
      <w:jc w:val="both"/>
    </w:pPr>
    <w:rPr/>
  </w:style>
  <w:style w:type="paragraph" w:styleId="Normalcentr">
    <w:name w:val="Normal centré"/>
    <w:basedOn w:val="Normal"/>
    <w:qFormat/>
    <w:pPr>
      <w:spacing w:before="0" w:after="240"/>
      <w:ind w:hanging="0" w:start="1440" w:end="1440"/>
      <w:jc w:val="both"/>
    </w:pPr>
    <w:rPr/>
  </w:style>
  <w:style w:type="paragraph" w:styleId="Footer">
    <w:name w:val="footer"/>
    <w:basedOn w:val="Normal"/>
    <w:pPr>
      <w:tabs>
        <w:tab w:val="clear" w:pos="709"/>
        <w:tab w:val="center" w:pos="4320" w:leader="none"/>
        <w:tab w:val="right" w:pos="8640" w:leader="none"/>
      </w:tabs>
    </w:pPr>
    <w:rPr/>
  </w:style>
  <w:style w:type="paragraph" w:styleId="PARAGRAPHE">
    <w:name w:val="PARAGRAPHE"/>
    <w:basedOn w:val="Normal"/>
    <w:qFormat/>
    <w:pPr>
      <w:spacing w:before="0" w:after="240"/>
      <w:jc w:val="both"/>
    </w:pPr>
    <w:rPr>
      <w:caps/>
    </w:rPr>
  </w:style>
  <w:style w:type="paragraph" w:styleId="Logo">
    <w:name w:val="Logo"/>
    <w:basedOn w:val="Normal"/>
    <w:qFormat/>
    <w:pPr>
      <w:jc w:val="center"/>
    </w:pPr>
    <w:rPr>
      <w:rFonts w:ascii="Garamond" w:hAnsi="Garamond" w:cs="Garamond"/>
      <w:sz w:val="36"/>
    </w:rPr>
  </w:style>
  <w:style w:type="paragraph" w:styleId="TITRE">
    <w:name w:val="TITRE"/>
    <w:basedOn w:val="Normal"/>
    <w:qFormat/>
    <w:pPr>
      <w:spacing w:before="0" w:after="480"/>
      <w:jc w:val="center"/>
    </w:pPr>
    <w:rPr>
      <w:b/>
      <w:caps/>
      <w:lang w:val="fr-CA"/>
    </w:rPr>
  </w:style>
  <w:style w:type="paragraph" w:styleId="Paragraphe1">
    <w:name w:val="Paragraphe 1"/>
    <w:basedOn w:val="Normal"/>
    <w:qFormat/>
    <w:pPr>
      <w:spacing w:before="0" w:after="240"/>
      <w:jc w:val="both"/>
    </w:pPr>
    <w:rPr/>
  </w:style>
  <w:style w:type="paragraph" w:styleId="Paragraphe2">
    <w:name w:val="Paragraphe 2"/>
    <w:basedOn w:val="Normal"/>
    <w:qFormat/>
    <w:pPr>
      <w:spacing w:before="0" w:after="240"/>
      <w:ind w:firstLine="720" w:start="0" w:end="0"/>
      <w:jc w:val="both"/>
    </w:pPr>
    <w:rPr/>
  </w:style>
  <w:style w:type="paragraph" w:styleId="Paragraphe3">
    <w:name w:val="Paragraphe 3"/>
    <w:basedOn w:val="Normal"/>
    <w:qFormat/>
    <w:pPr>
      <w:spacing w:before="0" w:after="240"/>
      <w:ind w:hanging="0" w:start="720" w:end="0"/>
      <w:jc w:val="both"/>
    </w:pPr>
    <w:rPr/>
  </w:style>
  <w:style w:type="paragraph" w:styleId="GRANDTITRE">
    <w:name w:val="GRAND TITRE"/>
    <w:basedOn w:val="Normal"/>
    <w:qFormat/>
    <w:pPr>
      <w:spacing w:before="480" w:after="240"/>
      <w:jc w:val="center"/>
    </w:pPr>
    <w:rPr>
      <w:b/>
      <w:caps/>
      <w:sz w:val="32"/>
    </w:rPr>
  </w:style>
  <w:style w:type="paragraph" w:styleId="Numrodedocument">
    <w:name w:val="Numéro de document"/>
    <w:basedOn w:val="Normal"/>
    <w:qFormat/>
    <w:pPr/>
    <w:rPr>
      <w:sz w:val="16"/>
      <w:lang w:val="fr-CA"/>
    </w:rPr>
  </w:style>
  <w:style w:type="paragraph" w:styleId="Sujet">
    <w:name w:val="Sujet"/>
    <w:basedOn w:val="Normal"/>
    <w:qFormat/>
    <w:pPr>
      <w:spacing w:before="240" w:after="0"/>
    </w:pPr>
    <w:rPr>
      <w:caps/>
    </w:rPr>
  </w:style>
  <w:style w:type="paragraph" w:styleId="LapointeRosenstein">
    <w:name w:val="Lapointe Rosenstein"/>
    <w:basedOn w:val="Normal"/>
    <w:qFormat/>
    <w:pPr>
      <w:keepNext w:val="true"/>
      <w:spacing w:before="240" w:after="1200"/>
      <w:outlineLvl w:val="0"/>
    </w:pPr>
    <w:rPr>
      <w:rFonts w:ascii="Garamond" w:hAnsi="Garamond" w:cs="Garamond"/>
      <w:b/>
      <w:sz w:val="28"/>
    </w:rPr>
  </w:style>
  <w:style w:type="paragraph" w:styleId="LapointeANG">
    <w:name w:val="Lapointe ANG"/>
    <w:basedOn w:val="Normal"/>
    <w:qFormat/>
    <w:pPr/>
    <w:rPr>
      <w:rFonts w:ascii="Times New Roman" w:hAnsi="Times New Roman" w:cs="Times New Roman"/>
      <w:sz w:val="24"/>
    </w:rPr>
  </w:style>
  <w:style w:type="paragraph" w:styleId="Per">
    <w:name w:val="Per"/>
    <w:basedOn w:val="Normal"/>
    <w:qFormat/>
    <w:pPr>
      <w:keepNext w:val="true"/>
      <w:spacing w:before="0" w:after="12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ssicotter@lapros.qc.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general@lapros.qc.c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 ANG.dot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2000-09-08T13:17:00Z</dcterms:created>
  <dc:creator>JBT</dc:creator>
  <dc:description/>
  <dc:language>en-CA</dc:language>
  <cp:lastModifiedBy>JBT</cp:lastModifiedBy>
  <cp:lastPrinted>2000-09-08T16:03:00Z</cp:lastPrinted>
  <dcterms:modified xsi:type="dcterms:W3CDTF">2000-09-08T17:33:00Z</dcterms:modified>
  <cp:revision>5</cp:revision>
  <dc:subject/>
  <dc:title>Lapointe Rosenstein</dc:title>
</cp:coreProperties>
</file>