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GRANDTITRE"/>
        <w:spacing w:before="480" w:after="240"/>
        <w:rPr/>
      </w:pPr>
      <w:r>
        <w:rPr/>
        <w:t>MEMORANDUM  #1</w:t>
      </w:r>
    </w:p>
    <w:tbl>
      <w:tblPr>
        <w:tblW w:w="10220" w:type="dxa"/>
        <w:jc w:val="start"/>
        <w:tblInd w:w="0" w:type="dxa"/>
        <w:tblLayout w:type="fixed"/>
        <w:tblCellMar>
          <w:top w:w="0" w:type="dxa"/>
          <w:start w:w="70" w:type="dxa"/>
          <w:bottom w:w="0" w:type="dxa"/>
          <w:end w:w="70" w:type="dxa"/>
        </w:tblCellMar>
      </w:tblPr>
      <w:tblGrid>
        <w:gridCol w:w="1240"/>
        <w:gridCol w:w="8980"/>
      </w:tblGrid>
      <w:tr>
        <w:trPr/>
        <w:tc>
          <w:tcPr>
            <w:tcW w:w="1240" w:type="dxa"/>
            <w:tcBorders/>
          </w:tcPr>
          <w:p>
            <w:pPr>
              <w:pStyle w:val="Sujet"/>
              <w:spacing w:before="240" w:after="0"/>
              <w:rPr/>
            </w:pPr>
            <w:r>
              <w:rPr/>
              <w:t>TO:</w:t>
            </w:r>
          </w:p>
        </w:tc>
        <w:tc>
          <w:tcPr>
            <w:tcW w:w="8980" w:type="dxa"/>
            <w:tcBorders/>
          </w:tcPr>
          <w:p>
            <w:pPr>
              <w:pStyle w:val="Normal"/>
              <w:spacing w:before="240" w:after="0"/>
              <w:rPr/>
            </w:pPr>
            <w:r>
              <w:rPr/>
              <w:t>MARK GREENBERG</w:t>
            </w:r>
          </w:p>
        </w:tc>
      </w:tr>
      <w:tr>
        <w:trPr/>
        <w:tc>
          <w:tcPr>
            <w:tcW w:w="1240" w:type="dxa"/>
            <w:tcBorders/>
          </w:tcPr>
          <w:p>
            <w:pPr>
              <w:pStyle w:val="Sujet"/>
              <w:spacing w:before="240" w:after="0"/>
              <w:rPr/>
            </w:pPr>
            <w:r>
              <w:rPr/>
              <w:t>c.C.:</w:t>
            </w:r>
          </w:p>
        </w:tc>
        <w:tc>
          <w:tcPr>
            <w:tcW w:w="8980" w:type="dxa"/>
            <w:tcBorders/>
          </w:tcPr>
          <w:p>
            <w:pPr>
              <w:pStyle w:val="Normal"/>
              <w:spacing w:before="240" w:after="0"/>
              <w:rPr/>
            </w:pPr>
            <w:r>
              <w:rPr/>
              <w:t>PAUL D. BLUNDY, RICK JOHNSON, PATRICK MACKIN</w:t>
            </w:r>
          </w:p>
        </w:tc>
      </w:tr>
      <w:tr>
        <w:trPr/>
        <w:tc>
          <w:tcPr>
            <w:tcW w:w="1240" w:type="dxa"/>
            <w:tcBorders/>
          </w:tcPr>
          <w:p>
            <w:pPr>
              <w:pStyle w:val="Sujet"/>
              <w:spacing w:before="240" w:after="0"/>
              <w:rPr/>
            </w:pPr>
            <w:r>
              <w:rPr/>
              <w:t>FROM:</w:t>
            </w:r>
          </w:p>
        </w:tc>
        <w:tc>
          <w:tcPr>
            <w:tcW w:w="8980" w:type="dxa"/>
            <w:tcBorders/>
          </w:tcPr>
          <w:p>
            <w:pPr>
              <w:pStyle w:val="Normal"/>
              <w:spacing w:before="240" w:after="0"/>
              <w:rPr/>
            </w:pPr>
            <w:r>
              <w:rPr/>
              <w:t>ROLAND MASSICOTTE</w:t>
            </w:r>
          </w:p>
        </w:tc>
      </w:tr>
      <w:tr>
        <w:trPr/>
        <w:tc>
          <w:tcPr>
            <w:tcW w:w="1240" w:type="dxa"/>
            <w:tcBorders/>
          </w:tcPr>
          <w:p>
            <w:pPr>
              <w:pStyle w:val="Sujet"/>
              <w:spacing w:before="240" w:after="0"/>
              <w:rPr/>
            </w:pPr>
            <w:r>
              <w:rPr/>
              <w:t>DATE:</w:t>
            </w:r>
          </w:p>
        </w:tc>
        <w:tc>
          <w:tcPr>
            <w:tcW w:w="8980" w:type="dxa"/>
            <w:tcBorders/>
          </w:tcPr>
          <w:p>
            <w:pPr>
              <w:pStyle w:val="Normal"/>
              <w:spacing w:before="240" w:after="0"/>
              <w:rPr/>
            </w:pPr>
            <w:r>
              <w:rPr/>
              <w:t>September 8, 2000</w:t>
            </w:r>
          </w:p>
        </w:tc>
      </w:tr>
      <w:tr>
        <w:trPr/>
        <w:tc>
          <w:tcPr>
            <w:tcW w:w="1240" w:type="dxa"/>
            <w:tcBorders/>
          </w:tcPr>
          <w:p>
            <w:pPr>
              <w:pStyle w:val="Sujet"/>
              <w:spacing w:before="240" w:after="0"/>
              <w:rPr/>
            </w:pPr>
            <w:r>
              <w:rPr/>
              <w:t>RE:</w:t>
            </w:r>
          </w:p>
        </w:tc>
        <w:tc>
          <w:tcPr>
            <w:tcW w:w="8980" w:type="dxa"/>
            <w:tcBorders/>
          </w:tcPr>
          <w:p>
            <w:pPr>
              <w:pStyle w:val="Normal"/>
              <w:spacing w:before="240" w:after="0"/>
              <w:rPr/>
            </w:pPr>
            <w:r>
              <w:rPr/>
              <w:t>Project Crane Due Diligence</w:t>
            </w:r>
          </w:p>
        </w:tc>
      </w:tr>
      <w:tr>
        <w:trPr/>
        <w:tc>
          <w:tcPr>
            <w:tcW w:w="1240" w:type="dxa"/>
            <w:tcBorders/>
          </w:tcPr>
          <w:p>
            <w:pPr>
              <w:pStyle w:val="Sujet"/>
              <w:spacing w:before="240" w:after="0"/>
              <w:rPr/>
            </w:pPr>
            <w:r>
              <w:rPr/>
              <w:t>SUBJECT:</w:t>
            </w:r>
          </w:p>
        </w:tc>
        <w:tc>
          <w:tcPr>
            <w:tcW w:w="8980" w:type="dxa"/>
            <w:tcBorders/>
          </w:tcPr>
          <w:p>
            <w:pPr>
              <w:pStyle w:val="Normal"/>
              <w:spacing w:before="240" w:after="0"/>
              <w:rPr/>
            </w:pPr>
            <w:r>
              <w:rPr/>
              <w:t>COLLECTIVE AGREEMENTS</w:t>
            </w:r>
          </w:p>
        </w:tc>
      </w:tr>
      <w:tr>
        <w:trPr/>
        <w:tc>
          <w:tcPr>
            <w:tcW w:w="1240" w:type="dxa"/>
            <w:tcBorders/>
          </w:tcPr>
          <w:p>
            <w:pPr>
              <w:pStyle w:val="Sujet"/>
              <w:spacing w:before="240" w:after="0"/>
              <w:rPr/>
            </w:pPr>
            <w:r>
              <w:rPr/>
              <w:t>FILE:</w:t>
            </w:r>
          </w:p>
        </w:tc>
        <w:tc>
          <w:tcPr>
            <w:tcW w:w="8980" w:type="dxa"/>
            <w:tcBorders/>
          </w:tcPr>
          <w:p>
            <w:pPr>
              <w:pStyle w:val="Normal"/>
              <w:spacing w:before="240" w:after="0"/>
              <w:rPr/>
            </w:pPr>
            <w:r>
              <w:rPr/>
              <w:t>BENJ.40387</w:t>
            </w:r>
          </w:p>
        </w:tc>
      </w:tr>
      <w:tr>
        <w:trPr>
          <w:trHeight w:val="120" w:hRule="exact"/>
        </w:trPr>
        <w:tc>
          <w:tcPr>
            <w:tcW w:w="1240" w:type="dxa"/>
            <w:tcBorders>
              <w:bottom w:val="single" w:sz="4" w:space="0" w:color="000000"/>
            </w:tcBorders>
          </w:tcPr>
          <w:p>
            <w:pPr>
              <w:pStyle w:val="Header"/>
              <w:tabs>
                <w:tab w:val="clear" w:pos="4320"/>
                <w:tab w:val="clear" w:pos="8640"/>
              </w:tabs>
              <w:snapToGrid w:val="false"/>
              <w:spacing w:before="240" w:after="240"/>
              <w:rPr/>
            </w:pPr>
            <w:r>
              <w:rPr/>
            </w:r>
          </w:p>
        </w:tc>
        <w:tc>
          <w:tcPr>
            <w:tcW w:w="8980" w:type="dxa"/>
            <w:tcBorders>
              <w:bottom w:val="single" w:sz="4" w:space="0" w:color="000000"/>
            </w:tcBorders>
          </w:tcPr>
          <w:p>
            <w:pPr>
              <w:pStyle w:val="Normal"/>
              <w:snapToGrid w:val="false"/>
              <w:spacing w:before="240" w:after="0"/>
              <w:rPr/>
            </w:pPr>
            <w:r>
              <w:rPr/>
            </w:r>
          </w:p>
        </w:tc>
      </w:tr>
      <w:tr>
        <w:trPr>
          <w:trHeight w:val="600" w:hRule="exact"/>
        </w:trPr>
        <w:tc>
          <w:tcPr>
            <w:tcW w:w="1240" w:type="dxa"/>
            <w:tcBorders/>
          </w:tcPr>
          <w:p>
            <w:pPr>
              <w:pStyle w:val="Header"/>
              <w:tabs>
                <w:tab w:val="clear" w:pos="4320"/>
                <w:tab w:val="clear" w:pos="8640"/>
              </w:tabs>
              <w:snapToGrid w:val="false"/>
              <w:spacing w:before="240" w:after="240"/>
              <w:rPr/>
            </w:pPr>
            <w:r>
              <w:rPr/>
            </w:r>
          </w:p>
        </w:tc>
        <w:tc>
          <w:tcPr>
            <w:tcW w:w="8980" w:type="dxa"/>
            <w:tcBorders/>
          </w:tcPr>
          <w:p>
            <w:pPr>
              <w:pStyle w:val="Normal"/>
              <w:snapToGrid w:val="false"/>
              <w:spacing w:before="240" w:after="0"/>
              <w:rPr/>
            </w:pPr>
            <w:r>
              <w:rPr/>
            </w:r>
          </w:p>
        </w:tc>
      </w:tr>
    </w:tbl>
    <w:p>
      <w:pPr>
        <w:pStyle w:val="Paragraphe1"/>
        <w:rPr/>
      </w:pPr>
      <w:r>
        <w:rPr/>
        <w:t>Project Crane involves a stock acquisition by an Enron affiliated company of seven direct and indirect subsidiaries of Daishowa North America Corporation (Canada).</w:t>
      </w:r>
    </w:p>
    <w:p>
      <w:pPr>
        <w:pStyle w:val="Paragraphe1"/>
        <w:rPr/>
      </w:pPr>
      <w:r>
        <w:rPr/>
        <w:t>My due diligence review is limited in scope to the Quebec Employers being acquired in the transaction:</w:t>
      </w:r>
    </w:p>
    <w:p>
      <w:pPr>
        <w:pStyle w:val="Paragraphe1"/>
        <w:ind w:firstLine="709" w:end="0"/>
        <w:rPr/>
      </w:pPr>
      <w:r>
        <w:rPr>
          <w:b/>
        </w:rPr>
        <w:t>-</w:t>
      </w:r>
      <w:r>
        <w:rPr/>
        <w:t>Daishowa Inc.</w:t>
      </w:r>
    </w:p>
    <w:p>
      <w:pPr>
        <w:pStyle w:val="Paragraphe1"/>
        <w:ind w:firstLine="709" w:end="0"/>
        <w:rPr/>
      </w:pPr>
      <w:r>
        <w:rPr/>
        <w:t xml:space="preserve">-Daishowa Inc. Division of Fibre Procurement </w:t>
      </w:r>
    </w:p>
    <w:p>
      <w:pPr>
        <w:pStyle w:val="Paragraphe1"/>
        <w:ind w:firstLine="709" w:end="0"/>
        <w:rPr/>
      </w:pPr>
      <w:r>
        <w:rPr/>
        <w:t>-Scierie Leduc Division of Daishowa Inc.</w:t>
      </w:r>
    </w:p>
    <w:p>
      <w:pPr>
        <w:pStyle w:val="Paragraphe1"/>
        <w:rPr/>
      </w:pPr>
      <w:r>
        <w:rPr/>
        <w:t>In the course of the due diligence, I reviewed the following collective agreements:</w:t>
      </w:r>
    </w:p>
    <w:p>
      <w:pPr>
        <w:pStyle w:val="Heading3"/>
        <w:numPr>
          <w:ilvl w:val="0"/>
          <w:numId w:val="0"/>
        </w:numPr>
        <w:ind w:hanging="698" w:start="1418" w:end="0"/>
        <w:rPr/>
      </w:pPr>
      <w:r>
        <w:rPr/>
        <w:t>I.</w:t>
        <w:tab/>
        <w:t xml:space="preserve">Collective agreement between Scierie Leduc Division of Daishowa Inc. and Le Syndicat Démocratique des Salariées de la Scierie Leduc ("C.S.D.") </w:t>
      </w:r>
      <w:r>
        <w:rPr>
          <w:b/>
        </w:rPr>
        <w:t>copy available</w:t>
      </w:r>
      <w:r>
        <w:rPr/>
        <w:t>;</w:t>
      </w:r>
    </w:p>
    <w:p>
      <w:pPr>
        <w:pStyle w:val="Heading3"/>
        <w:numPr>
          <w:ilvl w:val="0"/>
          <w:numId w:val="0"/>
        </w:numPr>
        <w:ind w:hanging="698" w:start="1418" w:end="0"/>
        <w:rPr/>
      </w:pPr>
      <w:r>
        <w:rPr/>
        <w:t>II.</w:t>
        <w:tab/>
        <w:t xml:space="preserve">Collective agreement between Daishowa Inc. Division de l'Approvisionnemnet de Fibres - Québec and La Fraternité Nationale des Forestriers et Travailleurs d'Usine, Section Locale 299 </w:t>
      </w:r>
      <w:r>
        <w:rPr>
          <w:b/>
        </w:rPr>
        <w:t>(National Brotherhood of Foresters and Industrial Workers "N.B.F.I.W.")  copy available</w:t>
      </w:r>
      <w:r>
        <w:rPr/>
        <w:t>;</w:t>
      </w:r>
    </w:p>
    <w:p>
      <w:pPr>
        <w:pStyle w:val="Heading3"/>
        <w:numPr>
          <w:ilvl w:val="0"/>
          <w:numId w:val="0"/>
        </w:numPr>
        <w:ind w:hanging="698" w:start="1418" w:end="0"/>
        <w:rPr/>
      </w:pPr>
      <w:r>
        <w:rPr/>
        <w:t>III.</w:t>
        <w:tab/>
        <w:t xml:space="preserve">Collective agreement between Scierie Leduc, Division of Papeterie Reed Ltée and L'Union des Bûcherons et Employés de scierie, Local 2817 de La Fraternité Unie des Charpentiers et Menuisiers d'Amérique </w:t>
      </w:r>
      <w:r>
        <w:rPr>
          <w:b/>
        </w:rPr>
        <w:t>(Lumberjacks and Sawmill Employees of the United Brotherhood of Carpenters of America "U.B.C.A. Local 2817), copy available</w:t>
      </w:r>
      <w:r>
        <w:rPr/>
        <w:t>;</w:t>
      </w:r>
    </w:p>
    <w:p>
      <w:pPr>
        <w:pStyle w:val="Heading3"/>
        <w:numPr>
          <w:ilvl w:val="0"/>
          <w:numId w:val="0"/>
        </w:numPr>
        <w:ind w:hanging="698" w:start="1418" w:end="0"/>
        <w:rPr/>
      </w:pPr>
      <w:r>
        <w:rPr/>
        <w:t>IV.</w:t>
        <w:tab/>
        <w:t xml:space="preserve">Collective agreement between Daishowa Inc. and Le Syndicat Canadien des Communications, de l'Énergie et du Papier, Local 200 </w:t>
      </w:r>
      <w:r>
        <w:rPr>
          <w:b/>
        </w:rPr>
        <w:t xml:space="preserve">(Communications, Energy and Paper Workers Union of Canada "CEP, Local 200"), </w:t>
      </w:r>
      <w:r>
        <w:rPr/>
        <w:t>copy requested;</w:t>
      </w:r>
    </w:p>
    <w:p>
      <w:pPr>
        <w:pStyle w:val="Heading3"/>
        <w:numPr>
          <w:ilvl w:val="0"/>
          <w:numId w:val="0"/>
        </w:numPr>
        <w:ind w:hanging="698" w:start="1418" w:end="0"/>
        <w:rPr/>
      </w:pPr>
      <w:r>
        <w:rPr/>
        <w:t>V.</w:t>
        <w:tab/>
        <w:t xml:space="preserve">Collective agreement between Daishowa Inc. and Le Syndicat Canadien des Commissions, de l'Énergie et du Papier, Locals 137 and 250 </w:t>
      </w:r>
      <w:r>
        <w:rPr>
          <w:b/>
        </w:rPr>
        <w:t xml:space="preserve">(Communications, Engergy and Paper Workers Union of Canada "CEP, Locals 137 and 250"), </w:t>
      </w:r>
      <w:r>
        <w:rPr/>
        <w:t>copy requested;</w:t>
      </w:r>
    </w:p>
    <w:p>
      <w:pPr>
        <w:pStyle w:val="Style11"/>
        <w:numPr>
          <w:ilvl w:val="0"/>
          <w:numId w:val="3"/>
        </w:numPr>
        <w:ind w:hanging="0" w:start="709"/>
        <w:rPr/>
      </w:pPr>
      <w:r>
        <w:rPr/>
        <w:t>THE C.S.D. COLLECTIVE AGREEMENT:</w:t>
      </w:r>
    </w:p>
    <w:p>
      <w:pPr>
        <w:pStyle w:val="Heading1"/>
        <w:rPr/>
      </w:pPr>
      <w:r>
        <w:rPr/>
        <w:t>A.</w:t>
        <w:tab/>
        <w:t>PRELIMINARY REMARKS:</w:t>
      </w:r>
    </w:p>
    <w:p>
      <w:pPr>
        <w:pStyle w:val="1Titre10"/>
        <w:numPr>
          <w:ilvl w:val="0"/>
          <w:numId w:val="9"/>
        </w:numPr>
        <w:rPr/>
      </w:pPr>
      <w:r>
        <w:rPr/>
        <w:t>On November 24, 1987, the C.S.D. was certified to represent "</w:t>
      </w:r>
      <w:r>
        <w:rPr>
          <w:b/>
        </w:rPr>
        <w:t xml:space="preserve">all employees within the meaning of the </w:t>
      </w:r>
      <w:r>
        <w:rPr>
          <w:b/>
          <w:i/>
        </w:rPr>
        <w:t xml:space="preserve">Labour Code </w:t>
      </w:r>
      <w:r>
        <w:rPr>
          <w:b/>
        </w:rPr>
        <w:t>assigned to the operations of the sawmill save and except the office employees and those excluded by the Law</w:t>
      </w:r>
      <w:r>
        <w:rPr/>
        <w:t xml:space="preserve">" of Scierie Leduc Division de Papeterie Reed Ltée.  Subsequently, the certification certificate was modified to reflect the transmission of rights and obligations according to Section 45 of the  </w:t>
      </w:r>
      <w:r>
        <w:rPr>
          <w:i/>
        </w:rPr>
        <w:t xml:space="preserve">Labour Code </w:t>
      </w:r>
      <w:r>
        <w:rPr/>
        <w:t>from Scierie Leduc Division de Papeterie Reed Ltée to Scierie Leduc Division of Daishowa Inc.</w:t>
      </w:r>
    </w:p>
    <w:p>
      <w:pPr>
        <w:pStyle w:val="1Titre10"/>
        <w:numPr>
          <w:ilvl w:val="0"/>
          <w:numId w:val="9"/>
        </w:numPr>
        <w:rPr/>
      </w:pPr>
      <w:r>
        <w:rPr/>
        <w:t xml:space="preserve">The C.S.D. Collective Agreement came into force on September 24, 1999 and </w:t>
      </w:r>
      <w:r>
        <w:rPr>
          <w:b/>
        </w:rPr>
        <w:t>will expire on April 30, 2005</w:t>
      </w:r>
      <w:r>
        <w:rPr/>
        <w:t xml:space="preserve">.  </w:t>
      </w:r>
    </w:p>
    <w:p>
      <w:pPr>
        <w:pStyle w:val="1Titre10"/>
        <w:numPr>
          <w:ilvl w:val="0"/>
          <w:numId w:val="9"/>
        </w:numPr>
        <w:rPr/>
      </w:pPr>
      <w:r>
        <w:rPr/>
        <w:t xml:space="preserve">The records of the Department of Labour show that </w:t>
      </w:r>
      <w:r>
        <w:rPr>
          <w:b/>
        </w:rPr>
        <w:t>116 employees</w:t>
      </w:r>
      <w:r>
        <w:rPr/>
        <w:t xml:space="preserve"> are covered by the C.S.D. Collective Agreement which could not be confirmed with the documents in the Data Room.</w:t>
      </w:r>
    </w:p>
    <w:p>
      <w:pPr>
        <w:pStyle w:val="Heading1"/>
        <w:rPr/>
      </w:pPr>
      <w:r>
        <w:rPr/>
        <w:t>B.</w:t>
        <w:tab/>
        <w:t>SUMMARY OF THE NON-MONETARY PROVISIONS:</w:t>
      </w:r>
    </w:p>
    <w:p>
      <w:pPr>
        <w:pStyle w:val="Heading3"/>
        <w:numPr>
          <w:ilvl w:val="0"/>
          <w:numId w:val="10"/>
        </w:numPr>
        <w:rPr/>
      </w:pPr>
      <w:r>
        <w:rPr>
          <w:u w:val="single"/>
        </w:rPr>
        <w:t xml:space="preserve">Jurisdiction </w:t>
      </w:r>
      <w:r>
        <w:rPr/>
        <w:t>(Section 2):  Mill Employees:</w:t>
      </w:r>
    </w:p>
    <w:p>
      <w:pPr>
        <w:pStyle w:val="Paragraphe1"/>
        <w:rPr/>
      </w:pPr>
      <w:r>
        <w:rPr/>
        <w:t>Supervisory personnel cannot perform work or normally perform work by unionized employees except for training, in risky situations, in emergency situations provided that no unionized employee is prevented from working.</w:t>
      </w:r>
    </w:p>
    <w:p>
      <w:pPr>
        <w:pStyle w:val="Heading3"/>
        <w:numPr>
          <w:ilvl w:val="0"/>
          <w:numId w:val="10"/>
        </w:numPr>
        <w:rPr/>
      </w:pPr>
      <w:r>
        <w:rPr>
          <w:u w:val="single"/>
        </w:rPr>
        <w:t>Union Security</w:t>
      </w:r>
      <w:r>
        <w:rPr/>
        <w:t xml:space="preserve"> (Section 3): Union shop provisions.</w:t>
      </w:r>
    </w:p>
    <w:p>
      <w:pPr>
        <w:pStyle w:val="Heading3"/>
        <w:numPr>
          <w:ilvl w:val="0"/>
          <w:numId w:val="10"/>
        </w:numPr>
        <w:rPr/>
      </w:pPr>
      <w:r>
        <w:rPr>
          <w:u w:val="single"/>
        </w:rPr>
        <w:t xml:space="preserve">Union Representation </w:t>
      </w:r>
      <w:r>
        <w:rPr/>
        <w:t>(Section 4):</w:t>
      </w:r>
    </w:p>
    <w:p>
      <w:pPr>
        <w:pStyle w:val="Paragraphe1"/>
        <w:rPr/>
      </w:pPr>
      <w:r>
        <w:rPr/>
        <w:t xml:space="preserve">Obligation for the Employer to meet the Union representatives.  President of the local Union or a member of the Union Executive Committee may leave his work station without loss of pay to meet the Employer subject to prior authorization.  </w:t>
      </w:r>
    </w:p>
    <w:p>
      <w:pPr>
        <w:pStyle w:val="Paragraphe1"/>
        <w:rPr/>
      </w:pPr>
      <w:r>
        <w:rPr/>
        <w:t>Leave of absence for union activities without pay granted to a maximum of three (3) employees holding different positions at a time subject to production efficiency.</w:t>
      </w:r>
    </w:p>
    <w:p>
      <w:pPr>
        <w:pStyle w:val="Heading3"/>
        <w:keepNext w:val="true"/>
        <w:numPr>
          <w:ilvl w:val="0"/>
          <w:numId w:val="10"/>
        </w:numPr>
        <w:rPr/>
      </w:pPr>
      <w:r>
        <w:rPr>
          <w:u w:val="single"/>
        </w:rPr>
        <w:t xml:space="preserve">Management Rights </w:t>
      </w:r>
      <w:r>
        <w:rPr/>
        <w:t>(Section 5): Preserved.</w:t>
      </w:r>
    </w:p>
    <w:p>
      <w:pPr>
        <w:pStyle w:val="Heading3"/>
        <w:numPr>
          <w:ilvl w:val="0"/>
          <w:numId w:val="10"/>
        </w:numPr>
        <w:rPr/>
      </w:pPr>
      <w:r>
        <w:rPr>
          <w:u w:val="single"/>
        </w:rPr>
        <w:t>No Strike - No Lock-out Provisions</w:t>
      </w:r>
      <w:r>
        <w:rPr/>
        <w:t xml:space="preserve"> (Section 5):</w:t>
      </w:r>
    </w:p>
    <w:p>
      <w:pPr>
        <w:pStyle w:val="Heading3"/>
        <w:numPr>
          <w:ilvl w:val="0"/>
          <w:numId w:val="10"/>
        </w:numPr>
        <w:rPr/>
      </w:pPr>
      <w:r>
        <w:rPr>
          <w:u w:val="single"/>
        </w:rPr>
        <w:t>Grievance and Arbitration Procedure</w:t>
      </w:r>
      <w:r>
        <w:rPr/>
        <w:t xml:space="preserve"> (Sections 6 and 7)</w:t>
      </w:r>
    </w:p>
    <w:p>
      <w:pPr>
        <w:pStyle w:val="Paragraphe1"/>
        <w:rPr/>
      </w:pPr>
      <w:r>
        <w:rPr/>
        <w:t xml:space="preserve">The grievance procedure is restricted to disagreement respecting the interpretation and the application of the collective agreement.  Individual or a group grievance possible.  Right for the Employer to file grievances.  </w:t>
      </w:r>
    </w:p>
    <w:p>
      <w:pPr>
        <w:pStyle w:val="Paragraphe1"/>
        <w:rPr/>
      </w:pPr>
      <w:r>
        <w:rPr/>
        <w:t>Two (2) steps to arbitration and involvement of the shop steward at time of filing of the grievance.</w:t>
      </w:r>
    </w:p>
    <w:p>
      <w:pPr>
        <w:pStyle w:val="Paragraphe1"/>
        <w:rPr/>
      </w:pPr>
      <w:r>
        <w:rPr/>
        <w:t>Arbitration:  single arbitrator from no fixed panel.  Arbitration is well confined as to process and discretion.</w:t>
      </w:r>
    </w:p>
    <w:p>
      <w:pPr>
        <w:pStyle w:val="Heading3"/>
        <w:numPr>
          <w:ilvl w:val="0"/>
          <w:numId w:val="10"/>
        </w:numPr>
        <w:rPr/>
      </w:pPr>
      <w:r>
        <w:rPr>
          <w:u w:val="single"/>
        </w:rPr>
        <w:t xml:space="preserve">Discipline </w:t>
      </w:r>
      <w:r>
        <w:rPr/>
        <w:t>(Section 9):</w:t>
      </w:r>
    </w:p>
    <w:p>
      <w:pPr>
        <w:pStyle w:val="Paragraphe1"/>
        <w:rPr/>
      </w:pPr>
      <w:r>
        <w:rPr/>
        <w:t>Limited to warning, suspension, dismissal for just cause.  Disciplinary record vanished after twelve (12)  months except where similar offence is committed during said twelve-month period.</w:t>
      </w:r>
    </w:p>
    <w:p>
      <w:pPr>
        <w:pStyle w:val="Heading3"/>
        <w:numPr>
          <w:ilvl w:val="0"/>
          <w:numId w:val="10"/>
        </w:numPr>
        <w:rPr/>
      </w:pPr>
      <w:r>
        <w:rPr>
          <w:u w:val="single"/>
        </w:rPr>
        <w:t xml:space="preserve">Health and Safety </w:t>
      </w:r>
      <w:r>
        <w:rPr/>
        <w:t>(Section 10):</w:t>
      </w:r>
    </w:p>
    <w:p>
      <w:pPr>
        <w:pStyle w:val="Paragraphe1"/>
        <w:rPr/>
      </w:pPr>
      <w:r>
        <w:rPr/>
        <w:t xml:space="preserve">Health and Safety Committee of three (3) union representatives and three (3) management representatives.  </w:t>
      </w:r>
    </w:p>
    <w:p>
      <w:pPr>
        <w:pStyle w:val="Paragraphe1"/>
        <w:rPr/>
      </w:pPr>
      <w:r>
        <w:rPr/>
        <w:t>Obligation for the employees to notify dangerous equipment, dangerous conditions and dangerous acts committed by other employees.</w:t>
      </w:r>
    </w:p>
    <w:p>
      <w:pPr>
        <w:pStyle w:val="Paragraphe1"/>
        <w:rPr/>
      </w:pPr>
      <w:r>
        <w:rPr/>
        <w:t>Safety goggles, gloves, safety hats, ears protectors, knees protectors and safety boots are provided by the Employer at no cost for the employees required to wear same.</w:t>
      </w:r>
    </w:p>
    <w:p>
      <w:pPr>
        <w:pStyle w:val="Heading3"/>
        <w:numPr>
          <w:ilvl w:val="0"/>
          <w:numId w:val="10"/>
        </w:numPr>
        <w:rPr/>
      </w:pPr>
      <w:r>
        <w:rPr>
          <w:u w:val="single"/>
        </w:rPr>
        <w:t xml:space="preserve">Seniority </w:t>
      </w:r>
      <w:r>
        <w:rPr/>
        <w:t>(Section 13):</w:t>
      </w:r>
    </w:p>
    <w:p>
      <w:pPr>
        <w:pStyle w:val="Paragraphe1"/>
        <w:rPr/>
      </w:pPr>
      <w:r>
        <w:rPr/>
        <w:t xml:space="preserve">Plant seniority.  Probationary period is fifty (50) days worked.  </w:t>
      </w:r>
    </w:p>
    <w:p>
      <w:pPr>
        <w:pStyle w:val="Paragraphe1"/>
        <w:rPr/>
      </w:pPr>
      <w:r>
        <w:rPr/>
        <w:t>Definition of qualified employee.  Job posting and posting for training.  Trial period of fifteen (15) working days for the employee selected for a vacant position.</w:t>
      </w:r>
    </w:p>
    <w:p>
      <w:pPr>
        <w:pStyle w:val="Paragraphe1"/>
        <w:rPr/>
      </w:pPr>
      <w:r>
        <w:rPr/>
        <w:t>Layoff:  qualified employee with the least seniority goes first.</w:t>
      </w:r>
    </w:p>
    <w:p>
      <w:pPr>
        <w:pStyle w:val="Paragraphe1"/>
        <w:rPr/>
      </w:pPr>
      <w:r>
        <w:rPr/>
        <w:t xml:space="preserve">Recall: by reverse order of seniority among qualified employees.  </w:t>
      </w:r>
    </w:p>
    <w:p>
      <w:pPr>
        <w:pStyle w:val="Paragraphe1"/>
        <w:rPr/>
      </w:pPr>
      <w:r>
        <w:rPr/>
        <w:t>Bumping rights defined for layoff employees.</w:t>
      </w:r>
    </w:p>
    <w:p>
      <w:pPr>
        <w:pStyle w:val="Heading3"/>
        <w:keepNext w:val="true"/>
        <w:numPr>
          <w:ilvl w:val="0"/>
          <w:numId w:val="10"/>
        </w:numPr>
        <w:rPr/>
      </w:pPr>
      <w:r>
        <w:rPr>
          <w:u w:val="single"/>
        </w:rPr>
        <w:t xml:space="preserve">Technological changes </w:t>
      </w:r>
      <w:r>
        <w:rPr/>
        <w:t>(Section 18):</w:t>
      </w:r>
    </w:p>
    <w:p>
      <w:pPr>
        <w:pStyle w:val="Paragraphe1"/>
        <w:rPr/>
      </w:pPr>
      <w:r>
        <w:rPr/>
        <w:t>Notification to the Union of any possible technological changes.  Prior notice of thirty (30) days before implementation of technological changes.  Joint Committee to discuss the consequences of any contemplated technological changes and to implement, if possible, training programs for the employees whose positions are modified or to integrate the employees in new positions.</w:t>
      </w:r>
    </w:p>
    <w:p>
      <w:pPr>
        <w:pStyle w:val="Heading3"/>
        <w:numPr>
          <w:ilvl w:val="0"/>
          <w:numId w:val="10"/>
        </w:numPr>
        <w:rPr/>
      </w:pPr>
      <w:r>
        <w:rPr>
          <w:u w:val="single"/>
        </w:rPr>
        <w:t xml:space="preserve">Sub-contract </w:t>
      </w:r>
      <w:r>
        <w:rPr/>
        <w:t>(Section 19):</w:t>
      </w:r>
    </w:p>
    <w:p>
      <w:pPr>
        <w:pStyle w:val="Paragraphe1"/>
        <w:rPr/>
      </w:pPr>
      <w:r>
        <w:rPr/>
        <w:t>Right of the Employer to sub-contract if he does not have the equipment, the qualified manpower or if he cannot meet the time schedule required by the customers.  However, contracting out should not result in the layoff of unionized employees or should not prevent the employees from being recalled.</w:t>
      </w:r>
    </w:p>
    <w:p>
      <w:pPr>
        <w:pStyle w:val="Heading3"/>
        <w:keepNext w:val="true"/>
        <w:numPr>
          <w:ilvl w:val="0"/>
          <w:numId w:val="0"/>
        </w:numPr>
        <w:ind w:hanging="0" w:start="720" w:end="0"/>
        <w:rPr/>
      </w:pPr>
      <w:r>
        <w:rPr/>
        <w:t>(l)</w:t>
        <w:tab/>
      </w:r>
      <w:r>
        <w:rPr>
          <w:u w:val="single"/>
        </w:rPr>
        <w:t>Appendix 1 List of Classifications</w:t>
      </w:r>
    </w:p>
    <w:p>
      <w:pPr>
        <w:pStyle w:val="Heading3"/>
        <w:numPr>
          <w:ilvl w:val="0"/>
          <w:numId w:val="0"/>
        </w:numPr>
        <w:ind w:hanging="720" w:start="1440" w:end="0"/>
        <w:rPr/>
      </w:pPr>
      <w:r>
        <w:rPr/>
        <w:t>(m)</w:t>
        <w:tab/>
      </w:r>
      <w:r>
        <w:rPr>
          <w:u w:val="single"/>
        </w:rPr>
        <w:t>Appendix 2 List of Classifications</w:t>
      </w:r>
    </w:p>
    <w:p>
      <w:pPr>
        <w:pStyle w:val="Heading3"/>
        <w:numPr>
          <w:ilvl w:val="0"/>
          <w:numId w:val="0"/>
        </w:numPr>
        <w:tabs>
          <w:tab w:val="clear" w:pos="709"/>
          <w:tab w:val="left" w:pos="1440" w:leader="none"/>
        </w:tabs>
        <w:ind w:hanging="720" w:start="1440" w:end="0"/>
        <w:rPr/>
      </w:pPr>
      <w:r>
        <w:rPr/>
        <w:t>(n)</w:t>
        <w:tab/>
      </w:r>
      <w:r>
        <w:rPr>
          <w:u w:val="single"/>
        </w:rPr>
        <w:t>Appendix 3 Schedules of Work</w:t>
      </w:r>
    </w:p>
    <w:p>
      <w:pPr>
        <w:pStyle w:val="Heading3"/>
        <w:numPr>
          <w:ilvl w:val="0"/>
          <w:numId w:val="0"/>
        </w:numPr>
        <w:ind w:hanging="0" w:start="720" w:end="0"/>
        <w:rPr/>
      </w:pPr>
      <w:r>
        <w:rPr/>
        <w:t>(o)</w:t>
        <w:tab/>
      </w:r>
      <w:r>
        <w:rPr>
          <w:u w:val="single"/>
        </w:rPr>
        <w:t>Appendix 4 Job Rates</w:t>
      </w:r>
    </w:p>
    <w:p>
      <w:pPr>
        <w:pStyle w:val="Heading1"/>
        <w:rPr/>
      </w:pPr>
      <w:r>
        <w:rPr/>
        <w:t>C.</w:t>
        <w:tab/>
        <w:t>MONETARY PROVISIONS:</w:t>
      </w:r>
    </w:p>
    <w:p>
      <w:pPr>
        <w:pStyle w:val="Heading3"/>
        <w:ind w:hanging="0" w:start="0"/>
        <w:rPr/>
      </w:pPr>
      <w:r>
        <w:rPr>
          <w:u w:val="single"/>
        </w:rPr>
        <w:t xml:space="preserve">Remuneration and Job Rates </w:t>
      </w:r>
      <w:r>
        <w:rPr/>
        <w:t xml:space="preserve">(Section 8 and Appendix 4) </w:t>
      </w:r>
    </w:p>
    <w:p>
      <w:pPr>
        <w:pStyle w:val="Paragraphe1"/>
        <w:rPr/>
      </w:pPr>
      <w:r>
        <w:rPr/>
        <w:t xml:space="preserve">Employees are paid every week.  </w:t>
      </w:r>
    </w:p>
    <w:p>
      <w:pPr>
        <w:pStyle w:val="Paragraphe1"/>
        <w:rPr/>
      </w:pPr>
      <w:r>
        <w:rPr/>
        <w:t>Rate of pay for new position or position substantially modified is determined by the Employer subject to arbitration procedure if disagreement with the Union.</w:t>
      </w:r>
    </w:p>
    <w:p>
      <w:pPr>
        <w:pStyle w:val="Paragraphe1"/>
        <w:rPr/>
      </w:pPr>
      <w:r>
        <w:rPr/>
        <w:t>Show up allowance: half a day at regular hourly rate.</w:t>
      </w:r>
    </w:p>
    <w:p>
      <w:pPr>
        <w:pStyle w:val="Heading3"/>
        <w:ind w:hanging="0" w:start="0"/>
        <w:rPr/>
      </w:pPr>
      <w:r>
        <w:rPr>
          <w:u w:val="single"/>
        </w:rPr>
        <w:t xml:space="preserve">Safety Boots </w:t>
      </w:r>
      <w:r>
        <w:rPr/>
        <w:t>(Section 10):</w:t>
      </w:r>
    </w:p>
    <w:p>
      <w:pPr>
        <w:pStyle w:val="Paragraphe1"/>
        <w:rPr/>
      </w:pPr>
      <w:r>
        <w:rPr/>
        <w:t>Safety boots allowance:  $112.00 to $120.00 on May 1</w:t>
      </w:r>
      <w:r>
        <w:rPr>
          <w:vertAlign w:val="superscript"/>
        </w:rPr>
        <w:t>st</w:t>
      </w:r>
      <w:r>
        <w:rPr/>
        <w:t>, 2004.  For the mechanics, the allowance escalates from $152.00 to $160.00 on May 1</w:t>
      </w:r>
      <w:r>
        <w:rPr>
          <w:vertAlign w:val="superscript"/>
        </w:rPr>
        <w:t>st</w:t>
      </w:r>
      <w:r>
        <w:rPr/>
        <w:t>, 2004.</w:t>
      </w:r>
    </w:p>
    <w:p>
      <w:pPr>
        <w:pStyle w:val="Heading3"/>
        <w:ind w:hanging="0" w:start="0"/>
        <w:rPr/>
      </w:pPr>
      <w:r>
        <w:rPr>
          <w:u w:val="single"/>
        </w:rPr>
        <w:t>Hours of Work</w:t>
      </w:r>
      <w:r>
        <w:rPr/>
        <w:t xml:space="preserve"> (Section 12):</w:t>
      </w:r>
    </w:p>
    <w:p>
      <w:pPr>
        <w:pStyle w:val="Paragraphe1"/>
        <w:rPr/>
      </w:pPr>
      <w:r>
        <w:rPr/>
        <w:t>43 hours per week, 9 hours per day, from Monday to Thursday, and 7 hours on Friday.  Work schedules are part of the collective agreement (see Appendix 3).</w:t>
      </w:r>
    </w:p>
    <w:p>
      <w:pPr>
        <w:pStyle w:val="Paragraphe1"/>
        <w:rPr/>
      </w:pPr>
      <w:r>
        <w:rPr/>
        <w:t>Two (2) rest periods paid and one (1) meal period not paid.</w:t>
      </w:r>
    </w:p>
    <w:p>
      <w:pPr>
        <w:pStyle w:val="Paragraphe1"/>
        <w:rPr/>
      </w:pPr>
      <w:r>
        <w:rPr/>
        <w:t>Night shift premium:  $0.54/hour to $0.58/hour on May 1</w:t>
      </w:r>
      <w:r>
        <w:rPr>
          <w:vertAlign w:val="superscript"/>
        </w:rPr>
        <w:t>st</w:t>
      </w:r>
      <w:r>
        <w:rPr/>
        <w:t>, 2004.</w:t>
      </w:r>
    </w:p>
    <w:p>
      <w:pPr>
        <w:pStyle w:val="Paragraphe1"/>
        <w:rPr/>
      </w:pPr>
      <w:r>
        <w:rPr/>
        <w:t>Overtime:  time and a half (1 ½) for hours worked outside the regular hours and during a paid holiday.  Double time on Sunday.</w:t>
      </w:r>
    </w:p>
    <w:p>
      <w:pPr>
        <w:pStyle w:val="Paragraphe1"/>
        <w:rPr/>
      </w:pPr>
      <w:r>
        <w:rPr/>
        <w:t>Call back: overtime rate but no less than 4 hours at regular rate.</w:t>
      </w:r>
    </w:p>
    <w:p>
      <w:pPr>
        <w:pStyle w:val="Heading3"/>
        <w:numPr>
          <w:ilvl w:val="0"/>
          <w:numId w:val="0"/>
        </w:numPr>
        <w:ind w:hanging="0" w:start="720" w:end="0"/>
        <w:rPr/>
      </w:pPr>
      <w:r>
        <w:rPr/>
        <w:t>(d)</w:t>
        <w:tab/>
      </w:r>
      <w:r>
        <w:rPr>
          <w:u w:val="single"/>
        </w:rPr>
        <w:t xml:space="preserve">Heath and Welfare </w:t>
      </w:r>
      <w:r>
        <w:rPr/>
        <w:t>(Section 14):</w:t>
      </w:r>
    </w:p>
    <w:p>
      <w:pPr>
        <w:pStyle w:val="Paragraphe1"/>
        <w:rPr/>
      </w:pPr>
      <w:r>
        <w:rPr/>
        <w:t xml:space="preserve">Group insurance plan is provided </w:t>
      </w:r>
      <w:r>
        <w:rPr>
          <w:b/>
        </w:rPr>
        <w:t>but benefits are not specified</w:t>
      </w:r>
      <w:r>
        <w:rPr/>
        <w:t>.  Life insurance and health insurance paid at 100% by the Employer.  Disability insurance paid at 100% by the employees.</w:t>
      </w:r>
    </w:p>
    <w:p>
      <w:pPr>
        <w:pStyle w:val="Heading3"/>
        <w:numPr>
          <w:ilvl w:val="2"/>
          <w:numId w:val="13"/>
        </w:numPr>
        <w:ind w:hanging="0" w:start="0"/>
        <w:rPr/>
      </w:pPr>
      <w:r>
        <w:rPr>
          <w:u w:val="single"/>
        </w:rPr>
        <w:t xml:space="preserve">Pension Plan </w:t>
      </w:r>
      <w:r>
        <w:rPr/>
        <w:t>(Section 14):</w:t>
      </w:r>
    </w:p>
    <w:p>
      <w:pPr>
        <w:pStyle w:val="Paragraphe1"/>
        <w:rPr/>
      </w:pPr>
      <w:r>
        <w:rPr/>
        <w:t xml:space="preserve">Contribution of the Employer matches the contribution of the employees up to a maximum of 3% of the regular earnings.  </w:t>
      </w:r>
      <w:r>
        <w:rPr>
          <w:b/>
        </w:rPr>
        <w:t xml:space="preserve">No other details.  </w:t>
      </w:r>
      <w:r>
        <w:rPr/>
        <w:t xml:space="preserve"> To be reviewed by Mr. Yves Gagnon of the firm Watson Wyatt who will file his own report.</w:t>
      </w:r>
    </w:p>
    <w:p>
      <w:pPr>
        <w:pStyle w:val="Heading3"/>
        <w:ind w:hanging="0" w:start="0"/>
        <w:rPr/>
      </w:pPr>
      <w:r>
        <w:rPr>
          <w:u w:val="single"/>
        </w:rPr>
        <w:t xml:space="preserve">Annual Vacations </w:t>
      </w:r>
      <w:r>
        <w:rPr/>
        <w:t>(Section 15):</w:t>
      </w:r>
    </w:p>
    <w:tbl>
      <w:tblPr>
        <w:tblW w:w="8398" w:type="dxa"/>
        <w:jc w:val="start"/>
        <w:tblInd w:w="880" w:type="dxa"/>
        <w:tblLayout w:type="fixed"/>
        <w:tblCellMar>
          <w:top w:w="0" w:type="dxa"/>
          <w:start w:w="70" w:type="dxa"/>
          <w:bottom w:w="0" w:type="dxa"/>
          <w:end w:w="70" w:type="dxa"/>
        </w:tblCellMar>
      </w:tblPr>
      <w:tblGrid>
        <w:gridCol w:w="3406"/>
        <w:gridCol w:w="2624"/>
        <w:gridCol w:w="2368"/>
      </w:tblGrid>
      <w:tr>
        <w:trPr/>
        <w:tc>
          <w:tcPr>
            <w:tcW w:w="3406" w:type="dxa"/>
            <w:tcBorders>
              <w:top w:val="single" w:sz="4" w:space="0" w:color="000000"/>
              <w:start w:val="single" w:sz="4" w:space="0" w:color="000000"/>
              <w:bottom w:val="single" w:sz="4" w:space="0" w:color="000000"/>
              <w:end w:val="single" w:sz="4" w:space="0" w:color="000000"/>
            </w:tcBorders>
          </w:tcPr>
          <w:p>
            <w:pPr>
              <w:pStyle w:val="Heading3"/>
              <w:keepNext w:val="true"/>
              <w:numPr>
                <w:ilvl w:val="0"/>
                <w:numId w:val="0"/>
              </w:numPr>
              <w:spacing w:before="120" w:after="240"/>
              <w:ind w:hanging="650" w:start="650" w:end="0"/>
              <w:jc w:val="center"/>
              <w:rPr>
                <w:b/>
              </w:rPr>
            </w:pPr>
            <w:r>
              <w:rPr>
                <w:b/>
              </w:rPr>
              <w:t>Seniority</w:t>
            </w:r>
          </w:p>
        </w:tc>
        <w:tc>
          <w:tcPr>
            <w:tcW w:w="2624"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b/>
              </w:rPr>
            </w:pPr>
            <w:r>
              <w:rPr>
                <w:b/>
              </w:rPr>
              <w:t>% of Pay</w:t>
            </w:r>
          </w:p>
        </w:tc>
        <w:tc>
          <w:tcPr>
            <w:tcW w:w="2368"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b/>
              </w:rPr>
            </w:pPr>
            <w:r>
              <w:rPr>
                <w:b/>
              </w:rPr>
              <w:t>Duration</w:t>
            </w:r>
          </w:p>
        </w:tc>
      </w:tr>
      <w:tr>
        <w:trPr/>
        <w:tc>
          <w:tcPr>
            <w:tcW w:w="3406"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0 to 2 years</w:t>
            </w:r>
          </w:p>
        </w:tc>
        <w:tc>
          <w:tcPr>
            <w:tcW w:w="2624"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4</w:t>
            </w:r>
          </w:p>
        </w:tc>
        <w:tc>
          <w:tcPr>
            <w:tcW w:w="2368"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2 weeks</w:t>
            </w:r>
          </w:p>
        </w:tc>
      </w:tr>
      <w:tr>
        <w:trPr/>
        <w:tc>
          <w:tcPr>
            <w:tcW w:w="3406"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2 to 4 years</w:t>
            </w:r>
          </w:p>
        </w:tc>
        <w:tc>
          <w:tcPr>
            <w:tcW w:w="2624"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5</w:t>
            </w:r>
          </w:p>
        </w:tc>
        <w:tc>
          <w:tcPr>
            <w:tcW w:w="2368"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2 weeks</w:t>
            </w:r>
          </w:p>
        </w:tc>
      </w:tr>
      <w:tr>
        <w:trPr/>
        <w:tc>
          <w:tcPr>
            <w:tcW w:w="3406"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4 to 8 years</w:t>
            </w:r>
          </w:p>
        </w:tc>
        <w:tc>
          <w:tcPr>
            <w:tcW w:w="2624"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6</w:t>
            </w:r>
          </w:p>
        </w:tc>
        <w:tc>
          <w:tcPr>
            <w:tcW w:w="2368"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3 weeks</w:t>
            </w:r>
          </w:p>
        </w:tc>
      </w:tr>
      <w:tr>
        <w:trPr/>
        <w:tc>
          <w:tcPr>
            <w:tcW w:w="3406"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8 to 9 years</w:t>
            </w:r>
          </w:p>
        </w:tc>
        <w:tc>
          <w:tcPr>
            <w:tcW w:w="2624"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7</w:t>
            </w:r>
          </w:p>
        </w:tc>
        <w:tc>
          <w:tcPr>
            <w:tcW w:w="2368"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3 weeks</w:t>
            </w:r>
          </w:p>
        </w:tc>
      </w:tr>
      <w:tr>
        <w:trPr/>
        <w:tc>
          <w:tcPr>
            <w:tcW w:w="3406"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9 to 16 years</w:t>
            </w:r>
          </w:p>
        </w:tc>
        <w:tc>
          <w:tcPr>
            <w:tcW w:w="2624"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8</w:t>
            </w:r>
          </w:p>
        </w:tc>
        <w:tc>
          <w:tcPr>
            <w:tcW w:w="2368"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4 weeks</w:t>
            </w:r>
          </w:p>
        </w:tc>
      </w:tr>
      <w:tr>
        <w:trPr/>
        <w:tc>
          <w:tcPr>
            <w:tcW w:w="3406"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16 to 20 years</w:t>
            </w:r>
          </w:p>
        </w:tc>
        <w:tc>
          <w:tcPr>
            <w:tcW w:w="2624"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9</w:t>
            </w:r>
          </w:p>
        </w:tc>
        <w:tc>
          <w:tcPr>
            <w:tcW w:w="2368"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4 weeks</w:t>
            </w:r>
          </w:p>
        </w:tc>
      </w:tr>
      <w:tr>
        <w:trPr/>
        <w:tc>
          <w:tcPr>
            <w:tcW w:w="3406"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20 to 25 years</w:t>
            </w:r>
          </w:p>
        </w:tc>
        <w:tc>
          <w:tcPr>
            <w:tcW w:w="2624"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10</w:t>
            </w:r>
          </w:p>
        </w:tc>
        <w:tc>
          <w:tcPr>
            <w:tcW w:w="2368"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5 weeks</w:t>
            </w:r>
          </w:p>
        </w:tc>
      </w:tr>
      <w:tr>
        <w:trPr/>
        <w:tc>
          <w:tcPr>
            <w:tcW w:w="3406"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25 years +</w:t>
            </w:r>
          </w:p>
        </w:tc>
        <w:tc>
          <w:tcPr>
            <w:tcW w:w="2624"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12</w:t>
            </w:r>
          </w:p>
        </w:tc>
        <w:tc>
          <w:tcPr>
            <w:tcW w:w="2368"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6 weeks</w:t>
            </w:r>
          </w:p>
        </w:tc>
      </w:tr>
    </w:tbl>
    <w:p>
      <w:pPr>
        <w:pStyle w:val="Heading3"/>
        <w:numPr>
          <w:ilvl w:val="0"/>
          <w:numId w:val="0"/>
        </w:numPr>
        <w:ind w:hanging="0" w:start="720" w:end="0"/>
        <w:jc w:val="center"/>
        <w:rPr/>
      </w:pPr>
      <w:r>
        <w:rPr/>
      </w:r>
    </w:p>
    <w:p>
      <w:pPr>
        <w:pStyle w:val="Heading3"/>
        <w:ind w:hanging="0" w:start="0"/>
        <w:rPr/>
      </w:pPr>
      <w:r>
        <w:rPr>
          <w:u w:val="single"/>
        </w:rPr>
        <w:t xml:space="preserve">Paid Holidays </w:t>
      </w:r>
      <w:r>
        <w:rPr/>
        <w:t>(Section 16): 11 fixed and 2 floaters.</w:t>
      </w:r>
    </w:p>
    <w:p>
      <w:pPr>
        <w:pStyle w:val="Heading3"/>
        <w:ind w:hanging="0" w:start="0"/>
        <w:rPr/>
      </w:pPr>
      <w:r>
        <w:rPr>
          <w:u w:val="single"/>
        </w:rPr>
        <w:t xml:space="preserve">Bureavement Leaves </w:t>
      </w:r>
      <w:r>
        <w:rPr/>
        <w:t>(Section 17): 1, 3 or 5 days.</w:t>
      </w:r>
    </w:p>
    <w:p>
      <w:pPr>
        <w:pStyle w:val="Heading3"/>
        <w:keepNext w:val="true"/>
        <w:ind w:hanging="0" w:start="0"/>
        <w:rPr/>
      </w:pPr>
      <w:r>
        <w:rPr>
          <w:u w:val="single"/>
        </w:rPr>
        <w:t>Salary Increases</w:t>
      </w:r>
      <w:r>
        <w:rPr/>
        <w:t xml:space="preserve"> (Section 21):</w:t>
      </w:r>
    </w:p>
    <w:p>
      <w:pPr>
        <w:pStyle w:val="Paragraphe1"/>
        <w:spacing w:before="0" w:after="120"/>
        <w:ind w:start="1418" w:end="0"/>
        <w:rPr/>
      </w:pPr>
      <w:r>
        <w:rPr/>
        <w:t>May 1, 2000:</w:t>
        <w:tab/>
        <w:tab/>
        <w:t>2 %</w:t>
      </w:r>
    </w:p>
    <w:p>
      <w:pPr>
        <w:pStyle w:val="Paragraphe1"/>
        <w:spacing w:before="0" w:after="120"/>
        <w:ind w:start="1418" w:end="0"/>
        <w:rPr/>
      </w:pPr>
      <w:r>
        <w:rPr/>
        <w:t>May 1, 2001:</w:t>
        <w:tab/>
        <w:tab/>
        <w:t>2 %</w:t>
      </w:r>
    </w:p>
    <w:p>
      <w:pPr>
        <w:pStyle w:val="Paragraphe1"/>
        <w:spacing w:before="0" w:after="120"/>
        <w:ind w:start="1418" w:end="0"/>
        <w:rPr/>
      </w:pPr>
      <w:r>
        <w:rPr/>
        <w:t>May 1, 2002:</w:t>
        <w:tab/>
        <w:tab/>
        <w:t>2 %</w:t>
      </w:r>
    </w:p>
    <w:p>
      <w:pPr>
        <w:pStyle w:val="Paragraphe1"/>
        <w:spacing w:before="0" w:after="120"/>
        <w:ind w:start="1418" w:end="0"/>
        <w:rPr/>
      </w:pPr>
      <w:r>
        <w:rPr/>
        <w:t>May 1, 2003</w:t>
        <w:tab/>
        <w:tab/>
        <w:t>2 %</w:t>
      </w:r>
    </w:p>
    <w:p>
      <w:pPr>
        <w:pStyle w:val="Paragraphe1"/>
        <w:spacing w:before="0" w:after="120"/>
        <w:ind w:start="1418" w:end="0"/>
        <w:rPr/>
      </w:pPr>
      <w:r>
        <w:rPr/>
        <w:t>May 1, 2004</w:t>
        <w:tab/>
        <w:tab/>
        <w:t>2 %</w:t>
      </w:r>
    </w:p>
    <w:p>
      <w:pPr>
        <w:pStyle w:val="Heading1"/>
        <w:rPr/>
      </w:pPr>
      <w:r>
        <w:rPr/>
        <w:t>D.</w:t>
        <w:tab/>
        <w:t>OBSERVATIONS:</w:t>
      </w:r>
    </w:p>
    <w:p>
      <w:pPr>
        <w:pStyle w:val="Paragraphe1"/>
        <w:rPr/>
      </w:pPr>
      <w:r>
        <w:rPr/>
        <w:t>The C.S.D. Collective Agreement is straight forward, simple to understand and should be easy to manage, supervise and apply.</w:t>
      </w:r>
    </w:p>
    <w:p>
      <w:pPr>
        <w:pStyle w:val="Paragraphe1"/>
        <w:rPr/>
      </w:pPr>
      <w:r>
        <w:rPr/>
        <w:t>With the exception of Section 2 A.08, dealing with unionized work performed by supervisory personnel, and Section 19, restricting the right of the Employer to sub-contract, there are no major restrictions to the management rights.</w:t>
      </w:r>
    </w:p>
    <w:p>
      <w:pPr>
        <w:pStyle w:val="Style11"/>
        <w:numPr>
          <w:ilvl w:val="0"/>
          <w:numId w:val="3"/>
        </w:numPr>
        <w:ind w:hanging="0" w:start="709"/>
        <w:rPr/>
      </w:pPr>
      <w:r>
        <w:rPr/>
        <w:t>THE N.B.F.I.W. LOCAL 299 COLLECTIVE AGREEMENT:</w:t>
      </w:r>
    </w:p>
    <w:p>
      <w:pPr>
        <w:pStyle w:val="Heading1"/>
        <w:numPr>
          <w:ilvl w:val="0"/>
          <w:numId w:val="14"/>
        </w:numPr>
        <w:rPr/>
      </w:pPr>
      <w:r>
        <w:rPr/>
        <w:t>PRELIMINARY REMARKS:</w:t>
      </w:r>
    </w:p>
    <w:p>
      <w:pPr>
        <w:pStyle w:val="1Titre10"/>
        <w:numPr>
          <w:ilvl w:val="0"/>
          <w:numId w:val="6"/>
        </w:numPr>
        <w:rPr/>
      </w:pPr>
      <w:r>
        <w:rPr/>
        <w:t>On October 27, 1987, the N.B.F.I.W. Local 299 was certified to represent "</w:t>
      </w:r>
      <w:r>
        <w:rPr>
          <w:b/>
        </w:rPr>
        <w:t>all  scalers and assistant-scalers and junior scalers auditors of Papeterie Reed Ltée</w:t>
      </w:r>
      <w:r>
        <w:rPr/>
        <w:t xml:space="preserve">.  Subsequently, the certification certificate was modified to reflect the transmission of the rights and obligations according to Section 45 of the </w:t>
      </w:r>
      <w:r>
        <w:rPr>
          <w:i/>
        </w:rPr>
        <w:t xml:space="preserve">Labour Code </w:t>
      </w:r>
      <w:r>
        <w:rPr/>
        <w:t xml:space="preserve">from Papeterie Reed Ltée to Daishowa Inc. </w:t>
      </w:r>
    </w:p>
    <w:p>
      <w:pPr>
        <w:pStyle w:val="1Titre10"/>
        <w:numPr>
          <w:ilvl w:val="0"/>
          <w:numId w:val="6"/>
        </w:numPr>
        <w:rPr/>
      </w:pPr>
      <w:r>
        <w:rPr/>
        <w:t xml:space="preserve">The N.B.F.I.W. Local 299 Collective Agreement came into force on April 1, 1999 and  </w:t>
      </w:r>
      <w:r>
        <w:rPr>
          <w:b/>
        </w:rPr>
        <w:t>will expire on March 31, 2005.</w:t>
      </w:r>
    </w:p>
    <w:p>
      <w:pPr>
        <w:pStyle w:val="1Titre10"/>
        <w:numPr>
          <w:ilvl w:val="0"/>
          <w:numId w:val="6"/>
        </w:numPr>
        <w:rPr/>
      </w:pPr>
      <w:r>
        <w:rPr/>
        <w:t>The records of Department of Labour show that 9 employees are covered by the N.B.F.I.W. Local 299 Collective Agreement which could not be confirmed with the documents in the Data Room.</w:t>
      </w:r>
    </w:p>
    <w:p>
      <w:pPr>
        <w:pStyle w:val="Heading1"/>
        <w:rPr/>
      </w:pPr>
      <w:r>
        <w:rPr/>
        <w:t>B.</w:t>
        <w:tab/>
        <w:t>SUMMARY OF THE NON-MONETARY PROVISIONS:</w:t>
      </w:r>
    </w:p>
    <w:p>
      <w:pPr>
        <w:pStyle w:val="Heading3"/>
        <w:numPr>
          <w:ilvl w:val="2"/>
          <w:numId w:val="15"/>
        </w:numPr>
        <w:ind w:hanging="0" w:start="0"/>
        <w:rPr/>
      </w:pPr>
      <w:r>
        <w:rPr>
          <w:u w:val="single"/>
        </w:rPr>
        <w:t>Jurisdiction: Scalers</w:t>
      </w:r>
      <w:r>
        <w:rPr>
          <w:i/>
          <w:u w:val="single"/>
        </w:rPr>
        <w:t xml:space="preserve"> </w:t>
      </w:r>
    </w:p>
    <w:p>
      <w:pPr>
        <w:pStyle w:val="Paragraphe1"/>
        <w:rPr/>
      </w:pPr>
      <w:r>
        <w:rPr/>
        <w:t>No person excluded from the bargaining unit shall perform work normally performed by unionized employees.</w:t>
      </w:r>
    </w:p>
    <w:p>
      <w:pPr>
        <w:pStyle w:val="Heading3"/>
        <w:ind w:hanging="0" w:start="0"/>
        <w:rPr/>
      </w:pPr>
      <w:r>
        <w:rPr>
          <w:u w:val="single"/>
        </w:rPr>
        <w:t>No strike - No Lock-out Provisions</w:t>
      </w:r>
      <w:r>
        <w:rPr>
          <w:b/>
          <w:u w:val="single"/>
        </w:rPr>
        <w:t xml:space="preserve"> </w:t>
      </w:r>
      <w:r>
        <w:rPr/>
        <w:t>(Section 4):</w:t>
      </w:r>
    </w:p>
    <w:p>
      <w:pPr>
        <w:pStyle w:val="Heading3"/>
        <w:keepNext w:val="true"/>
        <w:ind w:hanging="0" w:start="0"/>
        <w:rPr/>
      </w:pPr>
      <w:r>
        <w:rPr>
          <w:u w:val="single"/>
        </w:rPr>
        <w:t>Management Rights</w:t>
      </w:r>
      <w:r>
        <w:rPr/>
        <w:t xml:space="preserve"> (Section 6): Preserved.</w:t>
      </w:r>
    </w:p>
    <w:p>
      <w:pPr>
        <w:pStyle w:val="Heading3"/>
        <w:ind w:hanging="0" w:start="0"/>
        <w:rPr/>
      </w:pPr>
      <w:r>
        <w:rPr>
          <w:u w:val="single"/>
        </w:rPr>
        <w:t xml:space="preserve">Union Security </w:t>
      </w:r>
      <w:r>
        <w:rPr/>
        <w:t xml:space="preserve"> (Section 9): Union shop provisions.</w:t>
      </w:r>
    </w:p>
    <w:p>
      <w:pPr>
        <w:pStyle w:val="Heading3"/>
        <w:ind w:hanging="0" w:start="0"/>
        <w:rPr/>
      </w:pPr>
      <w:r>
        <w:rPr>
          <w:u w:val="single"/>
        </w:rPr>
        <w:t>Union Representation</w:t>
      </w:r>
      <w:r>
        <w:rPr/>
        <w:t xml:space="preserve"> (Section 10):</w:t>
      </w:r>
    </w:p>
    <w:p>
      <w:pPr>
        <w:pStyle w:val="Paragraphe1"/>
        <w:rPr/>
      </w:pPr>
      <w:r>
        <w:rPr/>
        <w:t>Number of shop stewards not defined.  Lease of absence without pay for Union activities: maximum of one (1) employee at a time.</w:t>
      </w:r>
    </w:p>
    <w:p>
      <w:pPr>
        <w:pStyle w:val="Heading3"/>
        <w:ind w:hanging="0" w:start="0"/>
        <w:rPr/>
      </w:pPr>
      <w:r>
        <w:rPr>
          <w:u w:val="single"/>
        </w:rPr>
        <w:t>Seniority</w:t>
      </w:r>
      <w:r>
        <w:rPr/>
        <w:t xml:space="preserve"> (Section 11):</w:t>
      </w:r>
    </w:p>
    <w:p>
      <w:pPr>
        <w:pStyle w:val="Paragraphe1"/>
        <w:rPr/>
      </w:pPr>
      <w:r>
        <w:rPr/>
        <w:t>Probationary period: three (3) months.</w:t>
      </w:r>
    </w:p>
    <w:p>
      <w:pPr>
        <w:pStyle w:val="Paragraphe1"/>
        <w:rPr/>
      </w:pPr>
      <w:r>
        <w:rPr/>
        <w:t>Recognition of the concept of general seniority.  Seasonal employees accumulated seniority under certain conditions.</w:t>
      </w:r>
    </w:p>
    <w:p>
      <w:pPr>
        <w:pStyle w:val="Paragraphe1"/>
        <w:rPr/>
      </w:pPr>
      <w:r>
        <w:rPr/>
        <w:t>Promotion, demotion and transfer:  management will consider first the competence of the employee to perform the required work.  Seniority prevails if employees are equally competent.</w:t>
      </w:r>
    </w:p>
    <w:p>
      <w:pPr>
        <w:pStyle w:val="Paragraphe1"/>
        <w:rPr/>
      </w:pPr>
      <w:r>
        <w:rPr/>
        <w:t>Vacant position:  notice to the Union Representative first, then posting in the scalers office.</w:t>
      </w:r>
    </w:p>
    <w:p>
      <w:pPr>
        <w:pStyle w:val="Heading3"/>
        <w:ind w:hanging="0" w:start="0"/>
        <w:rPr/>
      </w:pPr>
      <w:r>
        <w:rPr>
          <w:u w:val="single"/>
        </w:rPr>
        <w:t xml:space="preserve">Discipline </w:t>
      </w:r>
      <w:r>
        <w:rPr/>
        <w:t>(Section 10)</w:t>
      </w:r>
    </w:p>
    <w:p>
      <w:pPr>
        <w:pStyle w:val="Paragraphe1"/>
        <w:rPr/>
      </w:pPr>
      <w:r>
        <w:rPr/>
        <w:t>Disciplinary record vanished after one (1) year except for severe absenteeism where record vanished after eighteen (18) months.</w:t>
      </w:r>
    </w:p>
    <w:p>
      <w:pPr>
        <w:pStyle w:val="Heading3"/>
        <w:ind w:hanging="0" w:start="0"/>
        <w:rPr/>
      </w:pPr>
      <w:r>
        <w:rPr>
          <w:u w:val="single"/>
        </w:rPr>
        <w:t>Grievance and Arbitration Procedure</w:t>
      </w:r>
      <w:r>
        <w:rPr/>
        <w:t xml:space="preserve"> (Section 18):</w:t>
      </w:r>
    </w:p>
    <w:p>
      <w:pPr>
        <w:pStyle w:val="Paragraphe1"/>
        <w:rPr/>
      </w:pPr>
      <w:r>
        <w:rPr/>
        <w:t xml:space="preserve">Grievance procedure is restricted to disagreement respecting the interpretation or application of the collective agreement. </w:t>
      </w:r>
    </w:p>
    <w:p>
      <w:pPr>
        <w:pStyle w:val="Paragraphe1"/>
        <w:rPr/>
      </w:pPr>
      <w:r>
        <w:rPr/>
        <w:t>Possibility to file individual or group grievance.</w:t>
      </w:r>
    </w:p>
    <w:p>
      <w:pPr>
        <w:pStyle w:val="Paragraphe1"/>
        <w:rPr/>
      </w:pPr>
      <w:r>
        <w:rPr/>
        <w:t>Right of the Employer to file grievances.</w:t>
      </w:r>
    </w:p>
    <w:p>
      <w:pPr>
        <w:pStyle w:val="Paragraphe1"/>
        <w:rPr/>
      </w:pPr>
      <w:r>
        <w:rPr/>
        <w:t>Two (2) steps to arbitration.  Right of the shop steward to file grievance on behalf of any employee.</w:t>
      </w:r>
    </w:p>
    <w:p>
      <w:pPr>
        <w:pStyle w:val="Paragraphe1"/>
        <w:rPr/>
      </w:pPr>
      <w:r>
        <w:rPr/>
        <w:t>Arbitration:  three (3) member Board of arbitration from no fixed panel.  Arbitration is well confined as to process and discretion.</w:t>
      </w:r>
    </w:p>
    <w:p>
      <w:pPr>
        <w:pStyle w:val="Heading3"/>
        <w:ind w:hanging="0" w:start="0"/>
        <w:rPr/>
      </w:pPr>
      <w:r>
        <w:rPr>
          <w:u w:val="single"/>
        </w:rPr>
        <w:t>Standing Committee</w:t>
      </w:r>
      <w:r>
        <w:rPr/>
        <w:t xml:space="preserve"> (Section 19):</w:t>
      </w:r>
    </w:p>
    <w:p>
      <w:pPr>
        <w:pStyle w:val="Paragraphe1"/>
        <w:rPr/>
      </w:pPr>
      <w:r>
        <w:rPr/>
        <w:t>Four (4) member Standing Committee:  two (2) representatives for the Union and two (2) representatives for the Employer.</w:t>
      </w:r>
    </w:p>
    <w:p>
      <w:pPr>
        <w:pStyle w:val="Paragraphe1"/>
        <w:rPr/>
      </w:pPr>
      <w:r>
        <w:rPr/>
        <w:t>The purpose of the Standing Committee is to discuss issues of mutual interest related to welfare, safety, working conditions and operation efficiency.</w:t>
      </w:r>
    </w:p>
    <w:p>
      <w:pPr>
        <w:pStyle w:val="Heading3"/>
        <w:keepNext w:val="true"/>
        <w:ind w:hanging="0" w:start="0"/>
        <w:rPr/>
      </w:pPr>
      <w:r>
        <w:rPr>
          <w:u w:val="single"/>
        </w:rPr>
        <w:t>Automation and Technological Changes</w:t>
      </w:r>
      <w:r>
        <w:rPr/>
        <w:t xml:space="preserve"> (Section 21):</w:t>
      </w:r>
    </w:p>
    <w:p>
      <w:pPr>
        <w:pStyle w:val="Paragraphe1"/>
        <w:rPr/>
      </w:pPr>
      <w:r>
        <w:rPr/>
        <w:t>Meeting of the Joint Committee before implementation of technological changes and automation.</w:t>
      </w:r>
    </w:p>
    <w:p>
      <w:pPr>
        <w:pStyle w:val="Paragraphe1"/>
        <w:rPr/>
      </w:pPr>
      <w:r>
        <w:rPr/>
        <w:t xml:space="preserve">For employees demoted to a lower pay position because of automation:  retention of their job rate for first three (3) months, intermediary rate for the following three (3) months;: after six (6) months rate of pay of the lower position.  </w:t>
      </w:r>
    </w:p>
    <w:p>
      <w:pPr>
        <w:pStyle w:val="Paragraphe1"/>
        <w:rPr/>
      </w:pPr>
      <w:r>
        <w:rPr/>
        <w:t>For employees laid off because of automation or technological changes:  three (3) months prior notice.</w:t>
      </w:r>
    </w:p>
    <w:p>
      <w:pPr>
        <w:pStyle w:val="Heading3"/>
        <w:keepNext w:val="true"/>
        <w:ind w:hanging="0" w:start="0"/>
        <w:rPr/>
      </w:pPr>
      <w:r>
        <w:rPr>
          <w:u w:val="single"/>
        </w:rPr>
        <w:t>Continued Operation</w:t>
      </w:r>
      <w:r>
        <w:rPr/>
        <w:t xml:space="preserve"> (Section 25)</w:t>
      </w:r>
    </w:p>
    <w:p>
      <w:pPr>
        <w:pStyle w:val="Paragraphe1"/>
        <w:rPr/>
      </w:pPr>
      <w:r>
        <w:rPr/>
        <w:t>To meet the requirements of continued operation, the regular hours may be staggered on a two, three, or four week basis.</w:t>
      </w:r>
    </w:p>
    <w:p>
      <w:pPr>
        <w:pStyle w:val="Heading1"/>
        <w:rPr/>
      </w:pPr>
      <w:r>
        <w:rPr/>
        <w:t>C.</w:t>
        <w:tab/>
        <w:t>SUMMARY OF THE MONETARY PROVISIONS:</w:t>
      </w:r>
    </w:p>
    <w:p>
      <w:pPr>
        <w:pStyle w:val="Heading3"/>
        <w:numPr>
          <w:ilvl w:val="2"/>
          <w:numId w:val="16"/>
        </w:numPr>
        <w:ind w:hanging="0" w:start="0"/>
        <w:rPr/>
      </w:pPr>
      <w:r>
        <w:rPr>
          <w:u w:val="single"/>
        </w:rPr>
        <w:t xml:space="preserve">Hours of work </w:t>
      </w:r>
      <w:r>
        <w:rPr/>
        <w:t xml:space="preserve"> (Section 12)</w:t>
      </w:r>
    </w:p>
    <w:p>
      <w:pPr>
        <w:pStyle w:val="Paragraphe1"/>
        <w:rPr/>
      </w:pPr>
      <w:r>
        <w:rPr/>
        <w:t>Five (5) days of eight (8) hours from Monday to Friday.</w:t>
      </w:r>
    </w:p>
    <w:p>
      <w:pPr>
        <w:pStyle w:val="Paragraphe1"/>
        <w:rPr/>
      </w:pPr>
      <w:r>
        <w:rPr/>
        <w:t xml:space="preserve">Three shift schedule:  </w:t>
        <w:tab/>
        <w:t>23h00 to 07h00, 07h00 to 15h00, 15h00 to 23h00.</w:t>
      </w:r>
    </w:p>
    <w:p>
      <w:pPr>
        <w:pStyle w:val="Paragraphe1"/>
        <w:rPr/>
      </w:pPr>
      <w:r>
        <w:rPr/>
        <w:t>Overtime:  time and a half (1 ½) after 8 hours/day or 40 hours/week.</w:t>
      </w:r>
    </w:p>
    <w:p>
      <w:pPr>
        <w:pStyle w:val="Paragraphe1"/>
        <w:rPr/>
      </w:pPr>
      <w:r>
        <w:rPr/>
        <w:t>Night shift premium: $0.40/hour for work performed between 15h00 to 23h00 and $0.60/hour for work performed between 23h00 to 07h00.</w:t>
      </w:r>
    </w:p>
    <w:p>
      <w:pPr>
        <w:pStyle w:val="Heading3"/>
        <w:ind w:hanging="0" w:start="0"/>
        <w:rPr/>
      </w:pPr>
      <w:r>
        <w:rPr>
          <w:u w:val="single"/>
        </w:rPr>
        <w:t xml:space="preserve">Call Back </w:t>
      </w:r>
      <w:r>
        <w:rPr/>
        <w:t>(Section 13)</w:t>
      </w:r>
    </w:p>
    <w:p>
      <w:pPr>
        <w:pStyle w:val="Paragraphe1"/>
        <w:rPr/>
      </w:pPr>
      <w:r>
        <w:rPr/>
        <w:t>Time and a half (1 ½) for hours worked but not less than 4 hours at the regular rate of pay.</w:t>
      </w:r>
    </w:p>
    <w:p>
      <w:pPr>
        <w:pStyle w:val="Heading3"/>
        <w:ind w:hanging="0" w:start="0"/>
        <w:rPr/>
      </w:pPr>
      <w:r>
        <w:rPr>
          <w:u w:val="single"/>
        </w:rPr>
        <w:t xml:space="preserve">Annual Vacations </w:t>
      </w:r>
    </w:p>
    <w:p>
      <w:pPr>
        <w:pStyle w:val="Paragraphe1"/>
        <w:rPr/>
      </w:pPr>
      <w:r>
        <w:rPr/>
        <w:t xml:space="preserve">Regular employee: </w:t>
      </w:r>
    </w:p>
    <w:tbl>
      <w:tblPr>
        <w:tblW w:w="5774" w:type="dxa"/>
        <w:jc w:val="start"/>
        <w:tblInd w:w="880" w:type="dxa"/>
        <w:tblLayout w:type="fixed"/>
        <w:tblCellMar>
          <w:top w:w="0" w:type="dxa"/>
          <w:start w:w="70" w:type="dxa"/>
          <w:bottom w:w="0" w:type="dxa"/>
          <w:end w:w="70" w:type="dxa"/>
        </w:tblCellMar>
      </w:tblPr>
      <w:tblGrid>
        <w:gridCol w:w="3406"/>
        <w:gridCol w:w="2368"/>
      </w:tblGrid>
      <w:tr>
        <w:trPr/>
        <w:tc>
          <w:tcPr>
            <w:tcW w:w="3406" w:type="dxa"/>
            <w:tcBorders>
              <w:top w:val="single" w:sz="4" w:space="0" w:color="000000"/>
              <w:start w:val="single" w:sz="4" w:space="0" w:color="000000"/>
              <w:bottom w:val="single" w:sz="4" w:space="0" w:color="000000"/>
              <w:end w:val="single" w:sz="4" w:space="0" w:color="000000"/>
            </w:tcBorders>
          </w:tcPr>
          <w:p>
            <w:pPr>
              <w:pStyle w:val="Heading3"/>
              <w:keepNext w:val="true"/>
              <w:numPr>
                <w:ilvl w:val="0"/>
                <w:numId w:val="0"/>
              </w:numPr>
              <w:spacing w:before="120" w:after="240"/>
              <w:ind w:hanging="650" w:start="650" w:end="0"/>
              <w:jc w:val="center"/>
              <w:rPr>
                <w:b/>
              </w:rPr>
            </w:pPr>
            <w:r>
              <w:rPr>
                <w:b/>
              </w:rPr>
              <w:t>Seniority</w:t>
            </w:r>
          </w:p>
        </w:tc>
        <w:tc>
          <w:tcPr>
            <w:tcW w:w="2368"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b/>
              </w:rPr>
            </w:pPr>
            <w:r>
              <w:rPr>
                <w:b/>
              </w:rPr>
              <w:t>Duration</w:t>
            </w:r>
          </w:p>
        </w:tc>
      </w:tr>
      <w:tr>
        <w:trPr/>
        <w:tc>
          <w:tcPr>
            <w:tcW w:w="3406"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more than 1 year</w:t>
            </w:r>
          </w:p>
        </w:tc>
        <w:tc>
          <w:tcPr>
            <w:tcW w:w="2368"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2 weeks</w:t>
            </w:r>
          </w:p>
        </w:tc>
      </w:tr>
      <w:tr>
        <w:trPr/>
        <w:tc>
          <w:tcPr>
            <w:tcW w:w="3406"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more than 4 years</w:t>
            </w:r>
          </w:p>
        </w:tc>
        <w:tc>
          <w:tcPr>
            <w:tcW w:w="2368"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3 weeks</w:t>
            </w:r>
          </w:p>
        </w:tc>
      </w:tr>
      <w:tr>
        <w:trPr/>
        <w:tc>
          <w:tcPr>
            <w:tcW w:w="3406"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more than 9 years</w:t>
            </w:r>
          </w:p>
        </w:tc>
        <w:tc>
          <w:tcPr>
            <w:tcW w:w="2368"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4 weeks</w:t>
            </w:r>
          </w:p>
        </w:tc>
      </w:tr>
      <w:tr>
        <w:trPr/>
        <w:tc>
          <w:tcPr>
            <w:tcW w:w="3406"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more than 18 years</w:t>
            </w:r>
          </w:p>
        </w:tc>
        <w:tc>
          <w:tcPr>
            <w:tcW w:w="2368"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5 weeks</w:t>
            </w:r>
          </w:p>
        </w:tc>
      </w:tr>
      <w:tr>
        <w:trPr/>
        <w:tc>
          <w:tcPr>
            <w:tcW w:w="3406"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more than 23 years</w:t>
            </w:r>
          </w:p>
        </w:tc>
        <w:tc>
          <w:tcPr>
            <w:tcW w:w="2368"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6 weeks</w:t>
            </w:r>
          </w:p>
        </w:tc>
      </w:tr>
      <w:tr>
        <w:trPr/>
        <w:tc>
          <w:tcPr>
            <w:tcW w:w="3406"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25 years +</w:t>
            </w:r>
          </w:p>
        </w:tc>
        <w:tc>
          <w:tcPr>
            <w:tcW w:w="2368"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6 weeks</w:t>
            </w:r>
          </w:p>
        </w:tc>
      </w:tr>
    </w:tbl>
    <w:p>
      <w:pPr>
        <w:pStyle w:val="Heading3"/>
        <w:numPr>
          <w:ilvl w:val="0"/>
          <w:numId w:val="0"/>
        </w:numPr>
        <w:ind w:hanging="0" w:start="720" w:end="0"/>
        <w:jc w:val="center"/>
        <w:rPr/>
      </w:pPr>
      <w:r>
        <w:rPr/>
      </w:r>
    </w:p>
    <w:p>
      <w:pPr>
        <w:pStyle w:val="Paragraphe1"/>
        <w:keepNext w:val="true"/>
        <w:rPr/>
      </w:pPr>
      <w:r>
        <w:rPr/>
        <w:t xml:space="preserve">Seasonal employee: </w:t>
      </w:r>
    </w:p>
    <w:tbl>
      <w:tblPr>
        <w:tblW w:w="6030" w:type="dxa"/>
        <w:jc w:val="start"/>
        <w:tblInd w:w="880" w:type="dxa"/>
        <w:tblLayout w:type="fixed"/>
        <w:tblCellMar>
          <w:top w:w="0" w:type="dxa"/>
          <w:start w:w="70" w:type="dxa"/>
          <w:bottom w:w="0" w:type="dxa"/>
          <w:end w:w="70" w:type="dxa"/>
        </w:tblCellMar>
      </w:tblPr>
      <w:tblGrid>
        <w:gridCol w:w="3406"/>
        <w:gridCol w:w="2624"/>
      </w:tblGrid>
      <w:tr>
        <w:trPr/>
        <w:tc>
          <w:tcPr>
            <w:tcW w:w="3406" w:type="dxa"/>
            <w:tcBorders>
              <w:top w:val="single" w:sz="4" w:space="0" w:color="000000"/>
              <w:start w:val="single" w:sz="4" w:space="0" w:color="000000"/>
              <w:bottom w:val="single" w:sz="4" w:space="0" w:color="000000"/>
              <w:end w:val="single" w:sz="4" w:space="0" w:color="000000"/>
            </w:tcBorders>
          </w:tcPr>
          <w:p>
            <w:pPr>
              <w:pStyle w:val="Heading3"/>
              <w:keepNext w:val="true"/>
              <w:numPr>
                <w:ilvl w:val="0"/>
                <w:numId w:val="0"/>
              </w:numPr>
              <w:spacing w:before="120" w:after="240"/>
              <w:ind w:hanging="650" w:start="650" w:end="0"/>
              <w:jc w:val="center"/>
              <w:rPr>
                <w:b/>
              </w:rPr>
            </w:pPr>
            <w:r>
              <w:rPr>
                <w:b/>
              </w:rPr>
              <w:t>Seniority</w:t>
            </w:r>
          </w:p>
        </w:tc>
        <w:tc>
          <w:tcPr>
            <w:tcW w:w="2624"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b/>
              </w:rPr>
            </w:pPr>
            <w:r>
              <w:rPr>
                <w:b/>
              </w:rPr>
              <w:t>% of Pay</w:t>
            </w:r>
          </w:p>
        </w:tc>
      </w:tr>
      <w:tr>
        <w:trPr/>
        <w:tc>
          <w:tcPr>
            <w:tcW w:w="3406"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more than 1 year</w:t>
            </w:r>
          </w:p>
        </w:tc>
        <w:tc>
          <w:tcPr>
            <w:tcW w:w="2624"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4%</w:t>
            </w:r>
          </w:p>
        </w:tc>
      </w:tr>
      <w:tr>
        <w:trPr/>
        <w:tc>
          <w:tcPr>
            <w:tcW w:w="3406"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more than 4 years</w:t>
            </w:r>
          </w:p>
        </w:tc>
        <w:tc>
          <w:tcPr>
            <w:tcW w:w="2624"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6%</w:t>
            </w:r>
          </w:p>
        </w:tc>
      </w:tr>
      <w:tr>
        <w:trPr/>
        <w:tc>
          <w:tcPr>
            <w:tcW w:w="3406"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more than 9 years</w:t>
            </w:r>
          </w:p>
        </w:tc>
        <w:tc>
          <w:tcPr>
            <w:tcW w:w="2624"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8 %</w:t>
            </w:r>
          </w:p>
        </w:tc>
      </w:tr>
      <w:tr>
        <w:trPr/>
        <w:tc>
          <w:tcPr>
            <w:tcW w:w="3406"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more than 18 years</w:t>
            </w:r>
          </w:p>
        </w:tc>
        <w:tc>
          <w:tcPr>
            <w:tcW w:w="2624"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10 %</w:t>
            </w:r>
          </w:p>
        </w:tc>
      </w:tr>
      <w:tr>
        <w:trPr/>
        <w:tc>
          <w:tcPr>
            <w:tcW w:w="3406"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more than 23 years</w:t>
            </w:r>
          </w:p>
        </w:tc>
        <w:tc>
          <w:tcPr>
            <w:tcW w:w="2624"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12 %</w:t>
            </w:r>
          </w:p>
        </w:tc>
      </w:tr>
    </w:tbl>
    <w:p>
      <w:pPr>
        <w:pStyle w:val="Heading3"/>
        <w:numPr>
          <w:ilvl w:val="0"/>
          <w:numId w:val="0"/>
        </w:numPr>
        <w:ind w:hanging="0" w:start="720" w:end="0"/>
        <w:jc w:val="center"/>
        <w:rPr/>
      </w:pPr>
      <w:r>
        <w:rPr/>
      </w:r>
    </w:p>
    <w:p>
      <w:pPr>
        <w:pStyle w:val="Heading3"/>
        <w:numPr>
          <w:ilvl w:val="0"/>
          <w:numId w:val="0"/>
        </w:numPr>
        <w:ind w:hanging="0" w:start="720" w:end="0"/>
        <w:rPr/>
      </w:pPr>
      <w:r>
        <w:rPr/>
        <w:t xml:space="preserve">Additional vacation:  After twenty-five (25) years of service when then employee reaches the age of </w:t>
      </w:r>
    </w:p>
    <w:tbl>
      <w:tblPr>
        <w:tblW w:w="6030" w:type="dxa"/>
        <w:jc w:val="start"/>
        <w:tblInd w:w="880" w:type="dxa"/>
        <w:tblLayout w:type="fixed"/>
        <w:tblCellMar>
          <w:top w:w="0" w:type="dxa"/>
          <w:start w:w="70" w:type="dxa"/>
          <w:bottom w:w="0" w:type="dxa"/>
          <w:end w:w="70" w:type="dxa"/>
        </w:tblCellMar>
      </w:tblPr>
      <w:tblGrid>
        <w:gridCol w:w="3406"/>
        <w:gridCol w:w="2624"/>
      </w:tblGrid>
      <w:tr>
        <w:trPr/>
        <w:tc>
          <w:tcPr>
            <w:tcW w:w="3406" w:type="dxa"/>
            <w:tcBorders>
              <w:top w:val="single" w:sz="4" w:space="0" w:color="000000"/>
              <w:start w:val="single" w:sz="4" w:space="0" w:color="000000"/>
              <w:bottom w:val="single" w:sz="4" w:space="0" w:color="000000"/>
              <w:end w:val="single" w:sz="4" w:space="0" w:color="000000"/>
            </w:tcBorders>
          </w:tcPr>
          <w:p>
            <w:pPr>
              <w:pStyle w:val="Heading3"/>
              <w:keepNext w:val="true"/>
              <w:numPr>
                <w:ilvl w:val="0"/>
                <w:numId w:val="0"/>
              </w:numPr>
              <w:spacing w:before="120" w:after="240"/>
              <w:ind w:hanging="650" w:start="650" w:end="0"/>
              <w:jc w:val="center"/>
              <w:rPr>
                <w:b/>
              </w:rPr>
            </w:pPr>
            <w:r>
              <w:rPr>
                <w:b/>
              </w:rPr>
              <w:t>Age</w:t>
            </w:r>
          </w:p>
        </w:tc>
        <w:tc>
          <w:tcPr>
            <w:tcW w:w="2624"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b/>
              </w:rPr>
            </w:pPr>
            <w:r>
              <w:rPr>
                <w:b/>
              </w:rPr>
              <w:t>Duration</w:t>
            </w:r>
          </w:p>
        </w:tc>
      </w:tr>
      <w:tr>
        <w:trPr/>
        <w:tc>
          <w:tcPr>
            <w:tcW w:w="3406"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 xml:space="preserve">60 </w:t>
            </w:r>
          </w:p>
        </w:tc>
        <w:tc>
          <w:tcPr>
            <w:tcW w:w="2624"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1 week</w:t>
            </w:r>
          </w:p>
        </w:tc>
      </w:tr>
      <w:tr>
        <w:trPr/>
        <w:tc>
          <w:tcPr>
            <w:tcW w:w="3406"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 xml:space="preserve">61 </w:t>
            </w:r>
          </w:p>
        </w:tc>
        <w:tc>
          <w:tcPr>
            <w:tcW w:w="2624"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2 weeks</w:t>
            </w:r>
          </w:p>
        </w:tc>
      </w:tr>
      <w:tr>
        <w:trPr/>
        <w:tc>
          <w:tcPr>
            <w:tcW w:w="3406"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 xml:space="preserve">62 </w:t>
            </w:r>
          </w:p>
        </w:tc>
        <w:tc>
          <w:tcPr>
            <w:tcW w:w="2624"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3 weeks</w:t>
            </w:r>
          </w:p>
        </w:tc>
      </w:tr>
      <w:tr>
        <w:trPr/>
        <w:tc>
          <w:tcPr>
            <w:tcW w:w="3406"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 xml:space="preserve">63 </w:t>
            </w:r>
          </w:p>
        </w:tc>
        <w:tc>
          <w:tcPr>
            <w:tcW w:w="2624"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4 weeks</w:t>
            </w:r>
          </w:p>
        </w:tc>
      </w:tr>
      <w:tr>
        <w:trPr/>
        <w:tc>
          <w:tcPr>
            <w:tcW w:w="3406"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 xml:space="preserve">64 </w:t>
            </w:r>
          </w:p>
        </w:tc>
        <w:tc>
          <w:tcPr>
            <w:tcW w:w="2624"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5 weeks</w:t>
            </w:r>
          </w:p>
        </w:tc>
      </w:tr>
    </w:tbl>
    <w:p>
      <w:pPr>
        <w:pStyle w:val="Heading3"/>
        <w:numPr>
          <w:ilvl w:val="0"/>
          <w:numId w:val="0"/>
        </w:numPr>
        <w:ind w:hanging="0" w:start="720" w:end="0"/>
        <w:jc w:val="center"/>
        <w:rPr/>
      </w:pPr>
      <w:r>
        <w:rPr/>
      </w:r>
    </w:p>
    <w:p>
      <w:pPr>
        <w:pStyle w:val="Heading3"/>
        <w:ind w:hanging="0" w:start="0"/>
        <w:rPr/>
      </w:pPr>
      <w:r>
        <w:rPr>
          <w:u w:val="single"/>
        </w:rPr>
        <w:t>Paid Holidays</w:t>
      </w:r>
      <w:r>
        <w:rPr/>
        <w:t xml:space="preserve"> (Section 15): Ten (10) fixed and two (2) floaters.</w:t>
      </w:r>
    </w:p>
    <w:p>
      <w:pPr>
        <w:pStyle w:val="Paragraphe1"/>
        <w:rPr/>
      </w:pPr>
      <w:r>
        <w:rPr/>
        <w:t>Bureavement leaves:  3 or 5 days.</w:t>
      </w:r>
    </w:p>
    <w:p>
      <w:pPr>
        <w:pStyle w:val="Paragraphe1"/>
        <w:rPr/>
      </w:pPr>
      <w:r>
        <w:rPr/>
        <w:t xml:space="preserve">Jury duty provisions: </w:t>
      </w:r>
    </w:p>
    <w:p>
      <w:pPr>
        <w:pStyle w:val="Heading3"/>
        <w:ind w:hanging="0" w:start="0"/>
        <w:rPr/>
      </w:pPr>
      <w:r>
        <w:rPr>
          <w:u w:val="single"/>
        </w:rPr>
        <w:t xml:space="preserve">Progression and Wage Scale </w:t>
      </w:r>
      <w:r>
        <w:rPr/>
        <w:t xml:space="preserve"> (Section 16): At hiring anniversary date.</w:t>
      </w:r>
    </w:p>
    <w:p>
      <w:pPr>
        <w:pStyle w:val="Heading3"/>
        <w:ind w:hanging="0" w:start="0"/>
        <w:rPr/>
      </w:pPr>
      <w:r>
        <w:rPr>
          <w:u w:val="single"/>
        </w:rPr>
        <w:t>Severance Allowance</w:t>
      </w:r>
      <w:r>
        <w:rPr/>
        <w:t xml:space="preserve"> (Section 22)</w:t>
      </w:r>
    </w:p>
    <w:p>
      <w:pPr>
        <w:pStyle w:val="Paragraphe1"/>
        <w:rPr/>
      </w:pPr>
      <w:r>
        <w:rPr/>
        <w:t xml:space="preserve">For employees with one (1) year and more of service or thirty (30) months of accumulated service for seasonal employees: </w:t>
      </w:r>
      <w:r>
        <w:rPr>
          <w:b/>
        </w:rPr>
        <w:t>1 week per year of service</w:t>
      </w:r>
      <w:r>
        <w:rPr/>
        <w:t>.  First half of the severance allowance is paid six (6) weeks after lay off and the second half, three (3) months after lay off.</w:t>
      </w:r>
    </w:p>
    <w:p>
      <w:pPr>
        <w:pStyle w:val="Paragraphe1"/>
        <w:rPr/>
      </w:pPr>
      <w:r>
        <w:rPr/>
        <w:t>Payment of the severance allowance does not affect recall rights.  However, if the employee is recalled to work before full payment of the severance allowance, the allowance is either cancelled or the unpaid portion suspended.  If the employee is recalled after full payment of the severance allowance, he begins a new period of service.</w:t>
      </w:r>
    </w:p>
    <w:p>
      <w:pPr>
        <w:pStyle w:val="Heading3"/>
        <w:ind w:hanging="0" w:start="0"/>
        <w:rPr/>
      </w:pPr>
      <w:r>
        <w:rPr>
          <w:u w:val="single"/>
        </w:rPr>
        <w:t xml:space="preserve">Pension Plan </w:t>
      </w:r>
      <w:r>
        <w:rPr/>
        <w:t xml:space="preserve"> (Section 23)</w:t>
      </w:r>
    </w:p>
    <w:p>
      <w:pPr>
        <w:pStyle w:val="Paragraphe1"/>
        <w:rPr/>
      </w:pPr>
      <w:r>
        <w:rPr/>
        <w:t>Pension Plan is part of the collective agreement and cannot be modified during the life of the collective agreement except for situations beyond the control of the parties.</w:t>
      </w:r>
    </w:p>
    <w:p>
      <w:pPr>
        <w:pStyle w:val="Paragraphe1"/>
        <w:rPr/>
      </w:pPr>
      <w:r>
        <w:rPr/>
        <w:t xml:space="preserve">Eligibility:  participation is mandatory for employees who have reached twenty-one (21) years of age and have completed one (1) year of service. </w:t>
      </w:r>
    </w:p>
    <w:p>
      <w:pPr>
        <w:pStyle w:val="Paragraphe1"/>
        <w:keepNext w:val="true"/>
        <w:rPr/>
      </w:pPr>
      <w:r>
        <w:rPr/>
        <w:t>Contribution of active participant:  4.5 % of regular earnings up to the maximum admissible gains determined by the Quebec Pension Plan plus 6 % of regular earnings in excess of the admissible gains.</w:t>
      </w:r>
    </w:p>
    <w:p>
      <w:pPr>
        <w:pStyle w:val="Paragraphe1"/>
        <w:rPr/>
      </w:pPr>
      <w:r>
        <w:rPr/>
        <w:t>Pre-retirement option for employees with twenty (20) years of service and fifty-five (55) years of age.</w:t>
      </w:r>
    </w:p>
    <w:p>
      <w:pPr>
        <w:pStyle w:val="Paragraphe1"/>
        <w:rPr/>
      </w:pPr>
      <w:r>
        <w:rPr/>
        <w:t>The terms and conditions of this Pension Plan will be reviewed by Mr. Yves Gagnon of the firm Watson Wyatt who will file his own report.</w:t>
      </w:r>
    </w:p>
    <w:p>
      <w:pPr>
        <w:pStyle w:val="Heading3"/>
        <w:ind w:hanging="0" w:start="0"/>
        <w:rPr/>
      </w:pPr>
      <w:r>
        <w:rPr>
          <w:u w:val="single"/>
        </w:rPr>
        <w:t>Welfare</w:t>
      </w:r>
      <w:r>
        <w:rPr/>
        <w:t xml:space="preserve"> (Section 24)</w:t>
      </w:r>
    </w:p>
    <w:p>
      <w:pPr>
        <w:pStyle w:val="Paragraphe1"/>
        <w:rPr/>
      </w:pPr>
      <w:r>
        <w:rPr/>
        <w:t>The Group Insurance Plan includes the following coverage:</w:t>
      </w:r>
    </w:p>
    <w:p>
      <w:pPr>
        <w:pStyle w:val="Paragraphe1"/>
        <w:ind w:hanging="709" w:start="1418" w:end="0"/>
        <w:rPr/>
      </w:pPr>
      <w:r>
        <w:rPr/>
        <w:tab/>
        <w:t>-major medical:  any modifications in the premium will be shared by the employees and the Employer 50 / 50;</w:t>
      </w:r>
    </w:p>
    <w:p>
      <w:pPr>
        <w:pStyle w:val="Paragraphe1"/>
        <w:ind w:hanging="709" w:start="1418" w:end="0"/>
        <w:rPr/>
      </w:pPr>
      <w:r>
        <w:rPr/>
        <w:tab/>
        <w:t>-life insurance:  $0.30 per month per $1,000.00 coverage.  The Employer pays the first $65,000.00 coverage.  For excess coverage, the employees pay $0.30 per month per $1,000.00 coverage maximum;</w:t>
      </w:r>
    </w:p>
    <w:p>
      <w:pPr>
        <w:pStyle w:val="Paragraphe1"/>
        <w:ind w:hanging="709" w:start="1418" w:end="0"/>
        <w:rPr/>
      </w:pPr>
      <w:r>
        <w:rPr/>
        <w:tab/>
        <w:t>-weekly indemnity:  paid in full by the Employer;</w:t>
      </w:r>
    </w:p>
    <w:p>
      <w:pPr>
        <w:pStyle w:val="Paragraphe1"/>
        <w:ind w:hanging="709" w:start="1418" w:end="0"/>
        <w:rPr/>
      </w:pPr>
      <w:r>
        <w:rPr/>
        <w:tab/>
        <w:t>-long-term disability: paid in full by the Employer;</w:t>
      </w:r>
    </w:p>
    <w:p>
      <w:pPr>
        <w:pStyle w:val="Paragraphe1"/>
        <w:ind w:hanging="709" w:start="1418" w:end="0"/>
        <w:rPr/>
      </w:pPr>
      <w:r>
        <w:rPr/>
        <w:tab/>
        <w:t>-dental: Employer's contribution is $13.62 per month for individual coverage and $30.00 per month for family coverage, escalation every year;</w:t>
      </w:r>
    </w:p>
    <w:p>
      <w:pPr>
        <w:pStyle w:val="Paragraphe1"/>
        <w:ind w:hanging="709" w:start="1418" w:end="0"/>
        <w:rPr/>
      </w:pPr>
      <w:r>
        <w:rPr/>
        <w:tab/>
        <w:t>-optical:  reimbursement of some expenses.</w:t>
      </w:r>
    </w:p>
    <w:p>
      <w:pPr>
        <w:pStyle w:val="Heading3"/>
        <w:ind w:hanging="0" w:start="0"/>
        <w:rPr/>
      </w:pPr>
      <w:r>
        <w:rPr>
          <w:u w:val="single"/>
        </w:rPr>
        <w:t xml:space="preserve">Clothing </w:t>
      </w:r>
      <w:r>
        <w:rPr/>
        <w:t>(Section 26)</w:t>
      </w:r>
    </w:p>
    <w:p>
      <w:pPr>
        <w:pStyle w:val="Paragraphe1"/>
        <w:rPr/>
      </w:pPr>
      <w:r>
        <w:rPr/>
        <w:t>$30.00 allowance for clothing. Safety hats, goggles, knee caps, safety boots paid in full by the Employer, together with additional protection devices required by the Employer.</w:t>
      </w:r>
    </w:p>
    <w:p>
      <w:pPr>
        <w:pStyle w:val="Heading3"/>
        <w:ind w:hanging="0" w:start="0"/>
        <w:rPr/>
      </w:pPr>
      <w:r>
        <w:rPr>
          <w:u w:val="single"/>
        </w:rPr>
        <w:t>Insurance against Fire</w:t>
      </w:r>
      <w:r>
        <w:rPr/>
        <w:t xml:space="preserve"> (Section 27)</w:t>
      </w:r>
    </w:p>
    <w:p>
      <w:pPr>
        <w:pStyle w:val="Paragraphe1"/>
        <w:rPr/>
      </w:pPr>
      <w:r>
        <w:rPr/>
        <w:t>Personal belongings in the scaling shed, with the exclusion of car, tools and equipment, shall be insured against fire to a maximum of $600.00.</w:t>
      </w:r>
    </w:p>
    <w:p>
      <w:pPr>
        <w:pStyle w:val="Heading1"/>
        <w:rPr/>
      </w:pPr>
      <w:r>
        <w:rPr/>
        <w:t>D.</w:t>
        <w:tab/>
        <w:t>OBSERVATIONS</w:t>
      </w:r>
    </w:p>
    <w:p>
      <w:pPr>
        <w:pStyle w:val="Paragraphe1"/>
        <w:rPr/>
      </w:pPr>
      <w:r>
        <w:rPr/>
        <w:t>The N.B.F.I.W. Local 299 Collective Agreement is very straight forward, simple and should be very easy to manage, supervise and apply.  There are no major restrictions to the management rights with the exception of the prohibition for non-unionized personnel to perform unionized work.</w:t>
      </w:r>
    </w:p>
    <w:p>
      <w:pPr>
        <w:pStyle w:val="Style11"/>
        <w:numPr>
          <w:ilvl w:val="0"/>
          <w:numId w:val="3"/>
        </w:numPr>
        <w:ind w:hanging="0" w:start="709"/>
        <w:rPr/>
      </w:pPr>
      <w:r>
        <w:rPr/>
        <w:t>THE U.B.C.A. LOCAL 2817 COLLECTIVE AGREEMENT:</w:t>
      </w:r>
    </w:p>
    <w:p>
      <w:pPr>
        <w:pStyle w:val="Heading1"/>
        <w:numPr>
          <w:ilvl w:val="0"/>
          <w:numId w:val="17"/>
        </w:numPr>
        <w:rPr/>
      </w:pPr>
      <w:r>
        <w:rPr/>
        <w:t>PRELIMINARY REMARKS:</w:t>
      </w:r>
    </w:p>
    <w:p>
      <w:pPr>
        <w:pStyle w:val="1Titre10"/>
        <w:numPr>
          <w:ilvl w:val="0"/>
          <w:numId w:val="4"/>
        </w:numPr>
        <w:rPr/>
      </w:pPr>
      <w:r>
        <w:rPr/>
        <w:t>On August 31, 1984, the U.B.C.A. Local 2817 was certified to represent "</w:t>
      </w:r>
      <w:r>
        <w:rPr>
          <w:b/>
        </w:rPr>
        <w:t xml:space="preserve">all employees within the meaning of the </w:t>
      </w:r>
      <w:r>
        <w:rPr>
          <w:b/>
          <w:i/>
        </w:rPr>
        <w:t>Labour Code</w:t>
      </w:r>
      <w:r>
        <w:rPr>
          <w:b/>
        </w:rPr>
        <w:t xml:space="preserve"> affected to wood scaling at the l'Étape Camp in the Laurentides Park and on the Territory of Le Séminaire de Québec as well as the employees affected to the scaling of the sub-contractors located in the area above-mentioned</w:t>
      </w:r>
      <w:r>
        <w:rPr/>
        <w:t xml:space="preserve">" of Scierie Leduc Division de Papeterie Reed Ltée.  Subsequently, the certification certificate was modified to reflect the transmission of the rights and obligations according to Section 45 of the </w:t>
      </w:r>
      <w:r>
        <w:rPr>
          <w:i/>
        </w:rPr>
        <w:t xml:space="preserve">Labour Code </w:t>
      </w:r>
      <w:r>
        <w:rPr/>
        <w:t>from Scierie Leduc Division de Papeterie Reed Ltée to Scierie Leduc Division of Daishowa Inc.</w:t>
      </w:r>
    </w:p>
    <w:p>
      <w:pPr>
        <w:pStyle w:val="1Titre10"/>
        <w:numPr>
          <w:ilvl w:val="0"/>
          <w:numId w:val="4"/>
        </w:numPr>
        <w:rPr/>
      </w:pPr>
      <w:r>
        <w:rPr/>
        <w:t xml:space="preserve">The U.B.C.A. Local 2817 Collective Agreement came into force on September 1, 1998 and </w:t>
      </w:r>
      <w:r>
        <w:rPr>
          <w:b/>
        </w:rPr>
        <w:t>will expire on August 31, 2004.</w:t>
      </w:r>
    </w:p>
    <w:p>
      <w:pPr>
        <w:pStyle w:val="1Titre10"/>
        <w:numPr>
          <w:ilvl w:val="0"/>
          <w:numId w:val="4"/>
        </w:numPr>
        <w:rPr/>
      </w:pPr>
      <w:r>
        <w:rPr/>
        <w:t>The records of the Department of Labour show that only 2 employees are covered by the U.B.C.A. Local 2817 Collective Agreement which could not be confirmed with the documents in the Data Room.</w:t>
      </w:r>
    </w:p>
    <w:p>
      <w:pPr>
        <w:pStyle w:val="Heading1"/>
        <w:numPr>
          <w:ilvl w:val="0"/>
          <w:numId w:val="11"/>
        </w:numPr>
        <w:rPr/>
      </w:pPr>
      <w:r>
        <w:rPr/>
        <w:t>SUMMARY OF THE NON-MONETARY PROVISIONS:</w:t>
      </w:r>
    </w:p>
    <w:p>
      <w:pPr>
        <w:pStyle w:val="Heading3"/>
        <w:numPr>
          <w:ilvl w:val="2"/>
          <w:numId w:val="18"/>
        </w:numPr>
        <w:ind w:hanging="0" w:start="0"/>
        <w:rPr/>
      </w:pPr>
      <w:r>
        <w:rPr>
          <w:u w:val="single"/>
        </w:rPr>
        <w:t>Jurisdiction</w:t>
      </w:r>
      <w:r>
        <w:rPr/>
        <w:t xml:space="preserve"> (Section 2) Scalers</w:t>
      </w:r>
    </w:p>
    <w:p>
      <w:pPr>
        <w:pStyle w:val="Heading3"/>
        <w:ind w:hanging="0" w:start="0"/>
        <w:rPr/>
      </w:pPr>
      <w:r>
        <w:rPr>
          <w:u w:val="single"/>
        </w:rPr>
        <w:t xml:space="preserve">Union Security </w:t>
      </w:r>
      <w:r>
        <w:rPr/>
        <w:t>(Section 3): Union shop Provisions.</w:t>
      </w:r>
    </w:p>
    <w:p>
      <w:pPr>
        <w:pStyle w:val="Heading3"/>
        <w:ind w:hanging="0" w:start="0"/>
        <w:rPr/>
      </w:pPr>
      <w:r>
        <w:rPr>
          <w:u w:val="single"/>
        </w:rPr>
        <w:t xml:space="preserve">Union Representations </w:t>
      </w:r>
      <w:r>
        <w:rPr/>
        <w:t>(Section 4)</w:t>
      </w:r>
    </w:p>
    <w:p>
      <w:pPr>
        <w:pStyle w:val="Paragraphe1"/>
        <w:rPr/>
      </w:pPr>
      <w:r>
        <w:rPr/>
        <w:t>One of the employees performs the duties of shop steward.</w:t>
      </w:r>
    </w:p>
    <w:p>
      <w:pPr>
        <w:pStyle w:val="Heading3"/>
        <w:ind w:hanging="0" w:start="0"/>
        <w:rPr/>
      </w:pPr>
      <w:r>
        <w:rPr>
          <w:u w:val="single"/>
        </w:rPr>
        <w:t>Management Rights</w:t>
      </w:r>
      <w:r>
        <w:rPr/>
        <w:t xml:space="preserve"> (Section 5):  Preserved.</w:t>
      </w:r>
    </w:p>
    <w:p>
      <w:pPr>
        <w:pStyle w:val="Heading3"/>
        <w:keepNext w:val="true"/>
        <w:ind w:hanging="0" w:start="0"/>
        <w:rPr/>
      </w:pPr>
      <w:r>
        <w:rPr>
          <w:u w:val="single"/>
        </w:rPr>
        <w:t>Grievance and Arbitration Procedure</w:t>
      </w:r>
      <w:r>
        <w:rPr/>
        <w:t xml:space="preserve"> (Section 6)</w:t>
      </w:r>
    </w:p>
    <w:p>
      <w:pPr>
        <w:pStyle w:val="Paragraphe1"/>
        <w:rPr/>
      </w:pPr>
      <w:r>
        <w:rPr/>
        <w:t>The grievance procedure is restricted to disagreement respecting the interpretation and the application of the collective agreement.</w:t>
      </w:r>
    </w:p>
    <w:p>
      <w:pPr>
        <w:pStyle w:val="Paragraphe1"/>
        <w:rPr/>
      </w:pPr>
      <w:r>
        <w:rPr/>
        <w:t xml:space="preserve">Possibility to file individual or group grievance.  Right for the Employer to file grievances.  </w:t>
      </w:r>
    </w:p>
    <w:p>
      <w:pPr>
        <w:pStyle w:val="Paragraphe1"/>
        <w:rPr/>
      </w:pPr>
      <w:r>
        <w:rPr/>
        <w:t>Involvement of the shop steward or the Union representative at the time of filing of the grievance.</w:t>
      </w:r>
    </w:p>
    <w:p>
      <w:pPr>
        <w:pStyle w:val="Paragraphe1"/>
        <w:rPr/>
      </w:pPr>
      <w:r>
        <w:rPr/>
        <w:t>Three (3) steps to arbitration.</w:t>
      </w:r>
    </w:p>
    <w:p>
      <w:pPr>
        <w:pStyle w:val="Paragraphe1"/>
        <w:rPr/>
      </w:pPr>
      <w:r>
        <w:rPr/>
        <w:t>Arbitration:  three member Board of arbitration but no fixed panel.  Arbitration is well confined as to process and discretion.</w:t>
      </w:r>
    </w:p>
    <w:p>
      <w:pPr>
        <w:pStyle w:val="Heading3"/>
        <w:ind w:hanging="0" w:start="0"/>
        <w:rPr/>
      </w:pPr>
      <w:r>
        <w:rPr>
          <w:u w:val="single"/>
        </w:rPr>
        <w:t xml:space="preserve">No Strike and no Lock-out Provisions </w:t>
      </w:r>
      <w:r>
        <w:rPr/>
        <w:t xml:space="preserve">(Section 8) </w:t>
      </w:r>
    </w:p>
    <w:p>
      <w:pPr>
        <w:pStyle w:val="Heading3"/>
        <w:ind w:hanging="0" w:start="0"/>
        <w:rPr/>
      </w:pPr>
      <w:r>
        <w:rPr>
          <w:u w:val="single"/>
        </w:rPr>
        <w:t xml:space="preserve">Seniority </w:t>
      </w:r>
      <w:r>
        <w:rPr/>
        <w:t>(Section 13)</w:t>
      </w:r>
    </w:p>
    <w:p>
      <w:pPr>
        <w:pStyle w:val="Paragraphe1"/>
        <w:rPr/>
      </w:pPr>
      <w:r>
        <w:rPr/>
        <w:t xml:space="preserve">The concept of general seniority is recognized.  </w:t>
      </w:r>
    </w:p>
    <w:p>
      <w:pPr>
        <w:pStyle w:val="Paragraphe1"/>
        <w:rPr/>
      </w:pPr>
      <w:r>
        <w:rPr/>
        <w:t>Probationary period:  sixty (60) days worked.</w:t>
      </w:r>
    </w:p>
    <w:p>
      <w:pPr>
        <w:pStyle w:val="Paragraphe1"/>
        <w:rPr/>
      </w:pPr>
      <w:r>
        <w:rPr/>
        <w:t>Lay off and recall:  preference is given to the most senior employee provided he has the competence and meets the requirements of the work to be done.</w:t>
      </w:r>
    </w:p>
    <w:p>
      <w:pPr>
        <w:pStyle w:val="Paragraphe1"/>
        <w:rPr/>
      </w:pPr>
      <w:r>
        <w:rPr/>
        <w:t>Prior notice of five (5) working days before lay off.</w:t>
      </w:r>
    </w:p>
    <w:p>
      <w:pPr>
        <w:pStyle w:val="Heading1"/>
        <w:keepNext w:val="true"/>
        <w:numPr>
          <w:ilvl w:val="0"/>
          <w:numId w:val="11"/>
        </w:numPr>
        <w:rPr/>
      </w:pPr>
      <w:r>
        <w:rPr/>
        <w:t>SUMMARY OF MONETARY ISSUES:</w:t>
      </w:r>
    </w:p>
    <w:p>
      <w:pPr>
        <w:pStyle w:val="Heading3"/>
        <w:keepNext w:val="true"/>
        <w:numPr>
          <w:ilvl w:val="2"/>
          <w:numId w:val="19"/>
        </w:numPr>
        <w:ind w:hanging="0" w:start="0"/>
        <w:rPr/>
      </w:pPr>
      <w:r>
        <w:rPr>
          <w:u w:val="single"/>
        </w:rPr>
        <w:t>Hours of work</w:t>
      </w:r>
      <w:r>
        <w:rPr/>
        <w:t xml:space="preserve"> (Section 11)</w:t>
      </w:r>
    </w:p>
    <w:p>
      <w:pPr>
        <w:pStyle w:val="Paragraphe1"/>
        <w:rPr/>
      </w:pPr>
      <w:r>
        <w:rPr/>
        <w:t>Forty (40) hours, divided in 4 1/2 days from Monday morning to Friday noon hour.  Working schedule is as follows:</w:t>
      </w:r>
    </w:p>
    <w:p>
      <w:pPr>
        <w:pStyle w:val="Paragraphe1"/>
        <w:rPr/>
      </w:pPr>
      <w:r>
        <w:rPr/>
        <w:tab/>
        <w:t>Monday</w:t>
        <w:tab/>
        <w:t>From 08h00 to 11h00 and from 12h00 to 17h00</w:t>
      </w:r>
    </w:p>
    <w:p>
      <w:pPr>
        <w:pStyle w:val="Paragraphe1"/>
        <w:rPr/>
      </w:pPr>
      <w:r>
        <w:rPr/>
        <w:tab/>
        <w:t xml:space="preserve">Tuesday </w:t>
        <w:tab/>
        <w:t>From 07h00 to 11h00 and from 12h00 to 17h00</w:t>
      </w:r>
    </w:p>
    <w:p>
      <w:pPr>
        <w:pStyle w:val="Paragraphe1"/>
        <w:rPr/>
      </w:pPr>
      <w:r>
        <w:rPr/>
        <w:tab/>
        <w:t>Wednesday</w:t>
        <w:br/>
        <w:tab/>
        <w:t>and Thursday</w:t>
        <w:tab/>
        <w:t>From 07h00 to 11h00 and from 12h00 to 17h30</w:t>
      </w:r>
    </w:p>
    <w:p>
      <w:pPr>
        <w:pStyle w:val="Paragraphe1"/>
        <w:rPr/>
      </w:pPr>
      <w:r>
        <w:rPr/>
        <w:tab/>
        <w:t>Friday</w:t>
        <w:tab/>
        <w:tab/>
        <w:t>From 07h00 to 11h00</w:t>
      </w:r>
    </w:p>
    <w:p>
      <w:pPr>
        <w:pStyle w:val="Heading3"/>
        <w:keepNext w:val="true"/>
        <w:ind w:hanging="0" w:start="0"/>
        <w:rPr/>
      </w:pPr>
      <w:r>
        <w:rPr>
          <w:u w:val="single"/>
        </w:rPr>
        <w:t xml:space="preserve">Pay </w:t>
      </w:r>
      <w:r>
        <w:rPr/>
        <w:t xml:space="preserve">(Section 12): Every week. </w:t>
      </w:r>
    </w:p>
    <w:p>
      <w:pPr>
        <w:pStyle w:val="Heading3"/>
        <w:keepNext w:val="true"/>
        <w:ind w:hanging="0" w:start="0"/>
        <w:rPr/>
      </w:pPr>
      <w:r>
        <w:rPr>
          <w:u w:val="single"/>
        </w:rPr>
        <w:t>Annual Vacations</w:t>
      </w:r>
      <w:r>
        <w:rPr/>
        <w:t xml:space="preserve"> (Section 15)</w:t>
      </w:r>
    </w:p>
    <w:tbl>
      <w:tblPr>
        <w:tblW w:w="8142" w:type="dxa"/>
        <w:jc w:val="start"/>
        <w:tblInd w:w="880" w:type="dxa"/>
        <w:tblLayout w:type="fixed"/>
        <w:tblCellMar>
          <w:top w:w="0" w:type="dxa"/>
          <w:start w:w="70" w:type="dxa"/>
          <w:bottom w:w="0" w:type="dxa"/>
          <w:end w:w="70" w:type="dxa"/>
        </w:tblCellMar>
      </w:tblPr>
      <w:tblGrid>
        <w:gridCol w:w="3406"/>
        <w:gridCol w:w="2368"/>
        <w:gridCol w:w="2368"/>
      </w:tblGrid>
      <w:tr>
        <w:trPr/>
        <w:tc>
          <w:tcPr>
            <w:tcW w:w="3406" w:type="dxa"/>
            <w:tcBorders>
              <w:top w:val="single" w:sz="4" w:space="0" w:color="000000"/>
              <w:start w:val="single" w:sz="4" w:space="0" w:color="000000"/>
              <w:bottom w:val="single" w:sz="4" w:space="0" w:color="000000"/>
              <w:end w:val="single" w:sz="4" w:space="0" w:color="000000"/>
            </w:tcBorders>
          </w:tcPr>
          <w:p>
            <w:pPr>
              <w:pStyle w:val="Heading3"/>
              <w:keepNext w:val="true"/>
              <w:numPr>
                <w:ilvl w:val="0"/>
                <w:numId w:val="0"/>
              </w:numPr>
              <w:spacing w:before="120" w:after="240"/>
              <w:ind w:hanging="650" w:start="650" w:end="0"/>
              <w:jc w:val="center"/>
              <w:rPr>
                <w:b/>
              </w:rPr>
            </w:pPr>
            <w:r>
              <w:rPr>
                <w:b/>
              </w:rPr>
              <w:t>Seniority</w:t>
            </w:r>
          </w:p>
        </w:tc>
        <w:tc>
          <w:tcPr>
            <w:tcW w:w="2368"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w:t>
            </w:r>
          </w:p>
        </w:tc>
        <w:tc>
          <w:tcPr>
            <w:tcW w:w="2368"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b/>
              </w:rPr>
            </w:pPr>
            <w:r>
              <w:rPr>
                <w:b/>
              </w:rPr>
              <w:t>Duration</w:t>
            </w:r>
          </w:p>
        </w:tc>
      </w:tr>
      <w:tr>
        <w:trPr/>
        <w:tc>
          <w:tcPr>
            <w:tcW w:w="3406"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less than 4 years</w:t>
            </w:r>
          </w:p>
        </w:tc>
        <w:tc>
          <w:tcPr>
            <w:tcW w:w="2368"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4 %</w:t>
            </w:r>
          </w:p>
        </w:tc>
        <w:tc>
          <w:tcPr>
            <w:tcW w:w="2368"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2 weeks</w:t>
            </w:r>
          </w:p>
        </w:tc>
      </w:tr>
      <w:tr>
        <w:trPr/>
        <w:tc>
          <w:tcPr>
            <w:tcW w:w="3406"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 xml:space="preserve">more than 4 years </w:t>
              <w:br/>
              <w:t xml:space="preserve">but less than 9 years </w:t>
            </w:r>
          </w:p>
        </w:tc>
        <w:tc>
          <w:tcPr>
            <w:tcW w:w="2368"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6 %</w:t>
            </w:r>
          </w:p>
        </w:tc>
        <w:tc>
          <w:tcPr>
            <w:tcW w:w="2368"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3 weeks</w:t>
            </w:r>
          </w:p>
        </w:tc>
      </w:tr>
      <w:tr>
        <w:trPr/>
        <w:tc>
          <w:tcPr>
            <w:tcW w:w="3406"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more than 9 years</w:t>
              <w:br/>
              <w:t>but less than 20 years</w:t>
            </w:r>
          </w:p>
        </w:tc>
        <w:tc>
          <w:tcPr>
            <w:tcW w:w="2368"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8 %</w:t>
            </w:r>
          </w:p>
        </w:tc>
        <w:tc>
          <w:tcPr>
            <w:tcW w:w="2368"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4 weeks</w:t>
            </w:r>
          </w:p>
        </w:tc>
      </w:tr>
    </w:tbl>
    <w:p>
      <w:pPr>
        <w:pStyle w:val="Heading3"/>
        <w:numPr>
          <w:ilvl w:val="0"/>
          <w:numId w:val="0"/>
        </w:numPr>
        <w:ind w:hanging="0" w:start="720" w:end="0"/>
        <w:jc w:val="center"/>
        <w:rPr/>
      </w:pPr>
      <w:r>
        <w:rPr/>
      </w:r>
    </w:p>
    <w:p>
      <w:pPr>
        <w:pStyle w:val="Heading3"/>
        <w:ind w:hanging="0" w:start="0"/>
        <w:rPr/>
      </w:pPr>
      <w:r>
        <w:rPr>
          <w:u w:val="single"/>
        </w:rPr>
        <w:t>Paid Holidays</w:t>
      </w:r>
      <w:r>
        <w:rPr/>
        <w:t xml:space="preserve"> (Section 15): 9 fixed, 3 floaters.</w:t>
      </w:r>
    </w:p>
    <w:p>
      <w:pPr>
        <w:pStyle w:val="Paragraphe1"/>
        <w:rPr/>
      </w:pPr>
      <w:r>
        <w:rPr/>
        <w:t>Bureavement leaves:  1, 3 or 5 days.</w:t>
      </w:r>
    </w:p>
    <w:p>
      <w:pPr>
        <w:pStyle w:val="Heading3"/>
        <w:ind w:hanging="0" w:start="0"/>
        <w:rPr/>
      </w:pPr>
      <w:r>
        <w:rPr>
          <w:u w:val="single"/>
        </w:rPr>
        <w:t>Safety device</w:t>
      </w:r>
      <w:r>
        <w:rPr/>
        <w:t xml:space="preserve"> (Section 9.03)</w:t>
      </w:r>
    </w:p>
    <w:p>
      <w:pPr>
        <w:pStyle w:val="Paragraphe1"/>
        <w:rPr/>
      </w:pPr>
      <w:r>
        <w:rPr/>
        <w:t>$100.00 allowance for safety clothing required by the Employer.</w:t>
      </w:r>
    </w:p>
    <w:p>
      <w:pPr>
        <w:pStyle w:val="Heading3"/>
        <w:ind w:hanging="0" w:start="0"/>
        <w:rPr/>
      </w:pPr>
      <w:r>
        <w:rPr>
          <w:u w:val="single"/>
        </w:rPr>
        <w:t>Health and Welfare</w:t>
      </w:r>
      <w:r>
        <w:rPr/>
        <w:t xml:space="preserve"> </w:t>
      </w:r>
    </w:p>
    <w:p>
      <w:pPr>
        <w:pStyle w:val="Paragraphe1"/>
        <w:rPr/>
      </w:pPr>
      <w:r>
        <w:rPr/>
        <w:t xml:space="preserve">The Employer pays 100 % of the life insurance and health benefits insurance and the employee pays 100 % of the weekly benefits insurance.  </w:t>
      </w:r>
      <w:r>
        <w:rPr>
          <w:b/>
        </w:rPr>
        <w:t>No other details.</w:t>
      </w:r>
    </w:p>
    <w:p>
      <w:pPr>
        <w:pStyle w:val="Heading3"/>
        <w:ind w:hanging="0" w:start="0"/>
        <w:rPr/>
      </w:pPr>
      <w:r>
        <w:rPr>
          <w:u w:val="single"/>
        </w:rPr>
        <w:t>Car Allowance</w:t>
      </w:r>
      <w:r>
        <w:rPr/>
        <w:t xml:space="preserve"> </w:t>
      </w:r>
    </w:p>
    <w:p>
      <w:pPr>
        <w:pStyle w:val="Paragraphe1"/>
        <w:rPr/>
      </w:pPr>
      <w:r>
        <w:rPr/>
        <w:t>Depending on the mileage, the allowance range form $173.80 per week to $301.00 with escalation every year.</w:t>
      </w:r>
    </w:p>
    <w:p>
      <w:pPr>
        <w:pStyle w:val="Heading3"/>
        <w:keepNext w:val="true"/>
        <w:ind w:hanging="0" w:start="0"/>
        <w:rPr/>
      </w:pPr>
      <w:r>
        <w:rPr>
          <w:u w:val="single"/>
        </w:rPr>
        <w:t>Wage Scale</w:t>
      </w:r>
    </w:p>
    <w:p>
      <w:pPr>
        <w:pStyle w:val="Paragraphe1"/>
        <w:rPr/>
      </w:pPr>
      <w:r>
        <w:rPr/>
        <w:t>The base rate of $598.51 is increased as follows:</w:t>
      </w:r>
    </w:p>
    <w:p>
      <w:pPr>
        <w:pStyle w:val="Paragraphe1"/>
        <w:rPr/>
      </w:pPr>
      <w:r>
        <w:rPr/>
        <w:tab/>
        <w:t>-2 % as of September 1, 1998;</w:t>
      </w:r>
    </w:p>
    <w:p>
      <w:pPr>
        <w:pStyle w:val="Paragraphe1"/>
        <w:rPr/>
      </w:pPr>
      <w:r>
        <w:rPr/>
        <w:tab/>
        <w:t>-2 % as of September 1, 1999;</w:t>
      </w:r>
    </w:p>
    <w:p>
      <w:pPr>
        <w:pStyle w:val="Paragraphe1"/>
        <w:rPr/>
      </w:pPr>
      <w:r>
        <w:rPr/>
        <w:tab/>
        <w:t>-2 % as of September 1, 2000;</w:t>
      </w:r>
    </w:p>
    <w:p>
      <w:pPr>
        <w:pStyle w:val="Paragraphe1"/>
        <w:rPr/>
      </w:pPr>
      <w:r>
        <w:rPr/>
        <w:tab/>
        <w:t>-2 % as of September 1, 2001;</w:t>
      </w:r>
    </w:p>
    <w:p>
      <w:pPr>
        <w:pStyle w:val="Paragraphe1"/>
        <w:rPr/>
      </w:pPr>
      <w:r>
        <w:rPr/>
        <w:tab/>
        <w:t>-2 % as of September 1, 2002;</w:t>
      </w:r>
    </w:p>
    <w:p>
      <w:pPr>
        <w:pStyle w:val="Paragraphe1"/>
        <w:rPr/>
      </w:pPr>
      <w:r>
        <w:rPr/>
        <w:tab/>
        <w:t>-2 % as of September 1, 2003;</w:t>
      </w:r>
    </w:p>
    <w:p>
      <w:pPr>
        <w:pStyle w:val="Paragraphe1"/>
        <w:rPr/>
      </w:pPr>
      <w:r>
        <w:rPr/>
        <w:t>To the base rate is added the production premium which starts at $100.00 per week and is increased in accordance with the production chart.</w:t>
      </w:r>
    </w:p>
    <w:p>
      <w:pPr>
        <w:pStyle w:val="Heading1"/>
        <w:numPr>
          <w:ilvl w:val="0"/>
          <w:numId w:val="11"/>
        </w:numPr>
        <w:rPr/>
      </w:pPr>
      <w:r>
        <w:rPr/>
        <w:t>OBSERVATIONS:</w:t>
      </w:r>
    </w:p>
    <w:p>
      <w:pPr>
        <w:pStyle w:val="Paragraphe1"/>
        <w:rPr/>
      </w:pPr>
      <w:r>
        <w:rPr/>
        <w:t>The U.B.C.A. Local 2817 Collective Agreement is very easy to understand, to manage, to supervise and to apply.  There are no major restrictions to the management rights.  It is a pity that only few employees are covered by said collective agreement.</w:t>
      </w:r>
    </w:p>
    <w:p>
      <w:pPr>
        <w:pStyle w:val="Style11"/>
        <w:numPr>
          <w:ilvl w:val="0"/>
          <w:numId w:val="3"/>
        </w:numPr>
        <w:ind w:hanging="0" w:start="709"/>
        <w:rPr/>
      </w:pPr>
      <w:r>
        <w:rPr/>
        <w:t>THE CEP LOCAL 200 COLLECTIVE AGREEMENT</w:t>
      </w:r>
    </w:p>
    <w:p>
      <w:pPr>
        <w:pStyle w:val="Heading1"/>
        <w:numPr>
          <w:ilvl w:val="0"/>
          <w:numId w:val="20"/>
        </w:numPr>
        <w:rPr/>
      </w:pPr>
      <w:r>
        <w:rPr/>
        <w:t>PRELIMINARY REMARKS:</w:t>
      </w:r>
    </w:p>
    <w:p>
      <w:pPr>
        <w:pStyle w:val="1Titre10"/>
        <w:numPr>
          <w:ilvl w:val="0"/>
          <w:numId w:val="8"/>
        </w:numPr>
        <w:rPr/>
      </w:pPr>
      <w:r>
        <w:rPr/>
        <w:t>By certification issued on September 10, 1975, modified on January 7, 1976 and September 29, 1976, the CEP Local 200 represents:</w:t>
      </w:r>
    </w:p>
    <w:p>
      <w:pPr>
        <w:pStyle w:val="1Titre10"/>
        <w:ind w:start="1426" w:end="0"/>
        <w:rPr>
          <w:b/>
        </w:rPr>
      </w:pPr>
      <w:r>
        <w:rPr>
          <w:b/>
        </w:rPr>
        <w:t xml:space="preserve">"Office and clerical salaried employees, EXCEPT - Management: president and general manager, vice-president, secretary-treasurer, chief accountant, special duties, assistant chief accountant, assistant general manager, personnel director; Superintendents and Assistant superintendents: general superintendent, assistant general superintendent, control superintendent, finishing and shipping superintendent, chief engineer, assistant chief engineer, groundwood mill superintendent, mechanical superintendent, mill doctor, plant engineer, purchasing agent, steam plant superintendent, stores superintendent; sulphite mill superintendent, personnel superintendent, assistant purchasing agent, assistant finishing and shipping superintendent, assistant stores superintendent; Supervisors: filing, mail, telephone &amp; insurance, general accountant, mill cost accountant, chief paper inspector, cafeteria supervisor, chief timekeeper, chief scaler, head tester, engineers, mill chemist &amp; tester foreman; Plant nurses, secretaries to the president and general manager, the assistant general manager, the vice-president, the secretary-treasurer, the personnel director, the personnel superintendent; Scalers; Special duties officers; editor in chief, assistant editor; Labor interviewer; employed, in the city of Quebec" </w:t>
      </w:r>
    </w:p>
    <w:p>
      <w:pPr>
        <w:pStyle w:val="1Titre10"/>
        <w:ind w:start="1426" w:end="0"/>
        <w:rPr/>
      </w:pPr>
      <w:r>
        <w:rPr/>
        <w:t xml:space="preserve">of Papeterie Reed Ltée.  Subsequently, the certification certificate was modified to reflect the transmission of rights and obligations according to Section 45 of the </w:t>
      </w:r>
      <w:r>
        <w:rPr>
          <w:i/>
        </w:rPr>
        <w:t>Labour Code</w:t>
      </w:r>
      <w:r>
        <w:rPr/>
        <w:t xml:space="preserve"> from Papeterie Reed Ltée to Daishowa Inc.</w:t>
      </w:r>
    </w:p>
    <w:p>
      <w:pPr>
        <w:pStyle w:val="1Titre10"/>
        <w:numPr>
          <w:ilvl w:val="0"/>
          <w:numId w:val="8"/>
        </w:numPr>
        <w:rPr/>
      </w:pPr>
      <w:r>
        <w:rPr/>
        <w:t xml:space="preserve">The CEP Local 200 Collective Agreement came into force on May 1, 1998 and </w:t>
      </w:r>
      <w:r>
        <w:rPr>
          <w:b/>
        </w:rPr>
        <w:t>will expire on April 30, 2004.</w:t>
      </w:r>
    </w:p>
    <w:p>
      <w:pPr>
        <w:pStyle w:val="1Titre10"/>
        <w:ind w:hanging="712" w:start="1418" w:end="0"/>
        <w:rPr/>
      </w:pPr>
      <w:r>
        <w:rPr/>
        <w:t>(3)</w:t>
        <w:tab/>
        <w:t>The records of the Department of Labour show that 80 employees are covered by the CEP Local 200 Collective Agreement which could not be confirmed with the documents in the Data Room.</w:t>
      </w:r>
    </w:p>
    <w:p>
      <w:pPr>
        <w:pStyle w:val="Heading1"/>
        <w:numPr>
          <w:ilvl w:val="0"/>
          <w:numId w:val="11"/>
        </w:numPr>
        <w:rPr/>
      </w:pPr>
      <w:r>
        <w:rPr/>
        <w:t>SUMMARY OF THE NON-MONETARY PROVISIONS:</w:t>
      </w:r>
    </w:p>
    <w:p>
      <w:pPr>
        <w:pStyle w:val="Heading3"/>
        <w:numPr>
          <w:ilvl w:val="2"/>
          <w:numId w:val="21"/>
        </w:numPr>
        <w:ind w:hanging="0" w:start="0"/>
        <w:rPr/>
      </w:pPr>
      <w:r>
        <w:rPr>
          <w:u w:val="single"/>
        </w:rPr>
        <w:t xml:space="preserve">Union Recognition </w:t>
      </w:r>
      <w:r>
        <w:rPr/>
        <w:t>(Section 2): Office employees and office clerks.</w:t>
      </w:r>
    </w:p>
    <w:p>
      <w:pPr>
        <w:pStyle w:val="Heading3"/>
        <w:ind w:hanging="0" w:start="0"/>
        <w:rPr/>
      </w:pPr>
      <w:r>
        <w:rPr>
          <w:u w:val="single"/>
        </w:rPr>
        <w:t>Union Security</w:t>
      </w:r>
      <w:r>
        <w:rPr/>
        <w:t xml:space="preserve"> (Section 3): Union shop provisions.</w:t>
      </w:r>
    </w:p>
    <w:p>
      <w:pPr>
        <w:pStyle w:val="Heading3"/>
        <w:ind w:hanging="0" w:start="0"/>
        <w:rPr/>
      </w:pPr>
      <w:r>
        <w:rPr>
          <w:u w:val="single"/>
        </w:rPr>
        <w:t>Management Rights</w:t>
      </w:r>
      <w:r>
        <w:rPr/>
        <w:t xml:space="preserve"> (Section 6): Preserved.</w:t>
      </w:r>
    </w:p>
    <w:p>
      <w:pPr>
        <w:pStyle w:val="Heading3"/>
        <w:ind w:hanging="0" w:start="0"/>
        <w:rPr/>
      </w:pPr>
      <w:r>
        <w:rPr>
          <w:u w:val="single"/>
        </w:rPr>
        <w:t xml:space="preserve">No Strike - No Lock-out Provisions </w:t>
      </w:r>
      <w:r>
        <w:rPr/>
        <w:t>(Section 8)</w:t>
      </w:r>
    </w:p>
    <w:p>
      <w:pPr>
        <w:pStyle w:val="Heading3"/>
        <w:ind w:hanging="0" w:start="0"/>
        <w:rPr/>
      </w:pPr>
      <w:r>
        <w:rPr>
          <w:u w:val="single"/>
        </w:rPr>
        <w:t>Seniority</w:t>
      </w:r>
      <w:r>
        <w:rPr/>
        <w:t xml:space="preserve"> (Section 15)</w:t>
      </w:r>
    </w:p>
    <w:p>
      <w:pPr>
        <w:pStyle w:val="Paragraphe1"/>
        <w:rPr/>
      </w:pPr>
      <w:r>
        <w:rPr/>
        <w:t>Two (2) types of seniorities:  general seniority and bargaining unit seniority.</w:t>
      </w:r>
    </w:p>
    <w:p>
      <w:pPr>
        <w:pStyle w:val="Paragraphe1"/>
        <w:rPr/>
      </w:pPr>
      <w:r>
        <w:rPr/>
        <w:t>Probationary period not defined.</w:t>
      </w:r>
    </w:p>
    <w:p>
      <w:pPr>
        <w:pStyle w:val="Paragraphe1"/>
        <w:rPr/>
      </w:pPr>
      <w:r>
        <w:rPr/>
        <w:t>Promotion:  competence and seniority are considered.  Seniority prevails if competence between employees is relatively equal.  Selection among postulants is determined by bargaining unit seniority.</w:t>
      </w:r>
    </w:p>
    <w:p>
      <w:pPr>
        <w:pStyle w:val="Paragraphe1"/>
        <w:rPr/>
      </w:pPr>
      <w:r>
        <w:rPr/>
        <w:t>Demotion:  bargaining unit seniority applies.</w:t>
      </w:r>
    </w:p>
    <w:p>
      <w:pPr>
        <w:pStyle w:val="Paragraphe1"/>
        <w:rPr/>
      </w:pPr>
      <w:r>
        <w:rPr/>
        <w:t>Bumping rights are detailed.</w:t>
      </w:r>
    </w:p>
    <w:p>
      <w:pPr>
        <w:pStyle w:val="Paragraphe1"/>
        <w:rPr/>
      </w:pPr>
      <w:r>
        <w:rPr/>
        <w:t>Lay off:  two (2) weeks prior notice except if related to the reduction of the plant operations.</w:t>
      </w:r>
    </w:p>
    <w:p>
      <w:pPr>
        <w:pStyle w:val="Paragraphe1"/>
        <w:rPr/>
      </w:pPr>
      <w:r>
        <w:rPr/>
        <w:t>Recall rights according to recall list.</w:t>
      </w:r>
    </w:p>
    <w:p>
      <w:pPr>
        <w:pStyle w:val="Paragraphe1"/>
        <w:rPr/>
      </w:pPr>
      <w:r>
        <w:rPr/>
        <w:t>Notification to the Union on all issues related to promotion, suspension, lay off, demotion, dismissals and transfers: five (5) working days.</w:t>
      </w:r>
    </w:p>
    <w:p>
      <w:pPr>
        <w:pStyle w:val="Paragraphe1"/>
        <w:rPr/>
      </w:pPr>
      <w:r>
        <w:rPr/>
        <w:t>Rules are provided for temporary replacement.</w:t>
      </w:r>
    </w:p>
    <w:p>
      <w:pPr>
        <w:pStyle w:val="Heading3"/>
        <w:ind w:hanging="0" w:start="0"/>
        <w:rPr/>
      </w:pPr>
      <w:r>
        <w:rPr>
          <w:u w:val="single"/>
        </w:rPr>
        <w:t>Job Posting</w:t>
      </w:r>
      <w:r>
        <w:rPr/>
        <w:t xml:space="preserve"> (Section 17)</w:t>
      </w:r>
    </w:p>
    <w:p>
      <w:pPr>
        <w:pStyle w:val="Paragraphe1"/>
        <w:rPr/>
      </w:pPr>
      <w:r>
        <w:rPr/>
        <w:t>Selection is based on competence, past experience and seniority.</w:t>
      </w:r>
    </w:p>
    <w:p>
      <w:pPr>
        <w:pStyle w:val="Heading3"/>
        <w:ind w:hanging="0" w:start="0"/>
        <w:rPr/>
      </w:pPr>
      <w:r>
        <w:rPr>
          <w:u w:val="single"/>
        </w:rPr>
        <w:t>Job Evaluation</w:t>
      </w:r>
      <w:r>
        <w:rPr/>
        <w:t xml:space="preserve"> (Section 18): To be submitted to a Joint Committee.</w:t>
      </w:r>
    </w:p>
    <w:p>
      <w:pPr>
        <w:pStyle w:val="Heading3"/>
        <w:ind w:hanging="0" w:start="0"/>
        <w:rPr/>
      </w:pPr>
      <w:r>
        <w:rPr>
          <w:u w:val="single"/>
        </w:rPr>
        <w:t>Grievance and Arbitration Procedure</w:t>
      </w:r>
      <w:r>
        <w:rPr/>
        <w:t xml:space="preserve"> (Section 19)</w:t>
      </w:r>
    </w:p>
    <w:p>
      <w:pPr>
        <w:pStyle w:val="Paragraphe1"/>
        <w:rPr/>
      </w:pPr>
      <w:r>
        <w:rPr/>
        <w:t xml:space="preserve">The grievance procedure applies to any type of disagreement.  Three (3) steps before arbitration.  </w:t>
      </w:r>
    </w:p>
    <w:p>
      <w:pPr>
        <w:pStyle w:val="Paragraphe1"/>
        <w:rPr/>
      </w:pPr>
      <w:r>
        <w:rPr/>
        <w:t>Possibility to file individual and group grievance.</w:t>
      </w:r>
    </w:p>
    <w:p>
      <w:pPr>
        <w:pStyle w:val="Paragraphe1"/>
        <w:rPr/>
      </w:pPr>
      <w:r>
        <w:rPr/>
        <w:t>Right of the Employer to file grievances.</w:t>
      </w:r>
    </w:p>
    <w:p>
      <w:pPr>
        <w:pStyle w:val="Paragraphe1"/>
        <w:rPr/>
      </w:pPr>
      <w:r>
        <w:rPr/>
        <w:t>Arbitration:  three member Board of arbitration from no fixed panel.  Arbitration is well confined as to process and discretion.</w:t>
      </w:r>
    </w:p>
    <w:p>
      <w:pPr>
        <w:pStyle w:val="Heading3"/>
        <w:ind w:hanging="0" w:start="0"/>
        <w:rPr/>
      </w:pPr>
      <w:r>
        <w:rPr>
          <w:u w:val="single"/>
        </w:rPr>
        <w:t>Personal File and Disciplinary Record</w:t>
      </w:r>
      <w:r>
        <w:rPr/>
        <w:t xml:space="preserve"> (Section 20)</w:t>
      </w:r>
    </w:p>
    <w:p>
      <w:pPr>
        <w:pStyle w:val="Paragraphe1"/>
        <w:rPr/>
      </w:pPr>
      <w:r>
        <w:rPr/>
        <w:t xml:space="preserve">The Union is allowed to look at employee's personal and disciplinary files.  Disciplinary record vanished after one (1) year. </w:t>
      </w:r>
    </w:p>
    <w:p>
      <w:pPr>
        <w:pStyle w:val="Heading3"/>
        <w:ind w:hanging="0" w:start="0"/>
        <w:rPr/>
      </w:pPr>
      <w:r>
        <w:rPr>
          <w:u w:val="single"/>
        </w:rPr>
        <w:t>Sub-contract</w:t>
      </w:r>
      <w:r>
        <w:rPr/>
        <w:t xml:space="preserve"> (Section 21)</w:t>
      </w:r>
    </w:p>
    <w:p>
      <w:pPr>
        <w:pStyle w:val="Paragraphe1"/>
        <w:rPr/>
      </w:pPr>
      <w:r>
        <w:rPr/>
        <w:t>No person excluded from the bargaining unit shall perform work normally performed by unionized employees except for emergencies, training, when the office is not adequately equipped, does not have the required personnel and when no employee is qualified to do the job.</w:t>
      </w:r>
    </w:p>
    <w:p>
      <w:pPr>
        <w:pStyle w:val="Heading3"/>
        <w:ind w:hanging="0" w:start="0"/>
        <w:rPr/>
      </w:pPr>
      <w:r>
        <w:rPr>
          <w:u w:val="single"/>
        </w:rPr>
        <w:t>Automation and Technological Changes</w:t>
      </w:r>
      <w:r>
        <w:rPr/>
        <w:t xml:space="preserve"> (Section 22)</w:t>
      </w:r>
    </w:p>
    <w:p>
      <w:pPr>
        <w:pStyle w:val="Paragraphe1"/>
        <w:rPr/>
      </w:pPr>
      <w:r>
        <w:rPr/>
        <w:t xml:space="preserve">Prior notification of at least sixty (60) days before implementation of automation and/or technological changes.  </w:t>
      </w:r>
    </w:p>
    <w:p>
      <w:pPr>
        <w:pStyle w:val="Paragraphe1"/>
        <w:rPr/>
      </w:pPr>
      <w:r>
        <w:rPr/>
        <w:t>For employees permanently demoted to a lower pay position, retention of their rate of pay for the first six (6) months, intermediary rate for the following six (6) months.  After a year, the employee is paid the rate of the lower position.</w:t>
      </w:r>
    </w:p>
    <w:p>
      <w:pPr>
        <w:pStyle w:val="Paragraphe1"/>
        <w:rPr/>
      </w:pPr>
      <w:r>
        <w:rPr/>
        <w:t>For employees laid off because of automation or technological changes: three (3) months prior notice.</w:t>
      </w:r>
    </w:p>
    <w:p>
      <w:pPr>
        <w:pStyle w:val="Heading3"/>
        <w:ind w:hanging="0" w:start="0"/>
        <w:rPr/>
      </w:pPr>
      <w:r>
        <w:rPr>
          <w:u w:val="single"/>
        </w:rPr>
        <w:t>Leave of Absence without Pay for Union Activities and Pursuit of Education</w:t>
      </w:r>
      <w:r>
        <w:rPr/>
        <w:t xml:space="preserve"> (Section 31)</w:t>
      </w:r>
    </w:p>
    <w:p>
      <w:pPr>
        <w:pStyle w:val="Heading3"/>
        <w:ind w:hanging="0" w:start="0"/>
        <w:rPr/>
      </w:pPr>
      <w:r>
        <w:rPr>
          <w:u w:val="single"/>
        </w:rPr>
        <w:t>Job Security</w:t>
      </w:r>
      <w:r>
        <w:rPr/>
        <w:t xml:space="preserve"> (Section 35)</w:t>
      </w:r>
    </w:p>
    <w:p>
      <w:pPr>
        <w:pStyle w:val="Paragraphe1"/>
        <w:rPr/>
      </w:pPr>
      <w:r>
        <w:rPr/>
        <w:t xml:space="preserve">Current employees have job security except in the following cases:  </w:t>
      </w:r>
    </w:p>
    <w:p>
      <w:pPr>
        <w:pStyle w:val="Paragraphe1"/>
        <w:spacing w:before="0" w:after="120"/>
        <w:ind w:start="1418" w:end="0"/>
        <w:rPr/>
      </w:pPr>
      <w:r>
        <w:rPr/>
        <w:t>-technological changes;</w:t>
      </w:r>
    </w:p>
    <w:p>
      <w:pPr>
        <w:pStyle w:val="Paragraphe1"/>
        <w:spacing w:before="0" w:after="120"/>
        <w:ind w:start="1418" w:end="0"/>
        <w:rPr/>
      </w:pPr>
      <w:r>
        <w:rPr/>
        <w:t>-total or partial closer of the plant or a department;</w:t>
      </w:r>
    </w:p>
    <w:p>
      <w:pPr>
        <w:pStyle w:val="Paragraphe1"/>
        <w:spacing w:before="0" w:after="120"/>
        <w:ind w:start="1418" w:end="0"/>
        <w:rPr/>
      </w:pPr>
      <w:r>
        <w:rPr/>
        <w:t>-shut-down of operations because of lack of orders or market conditions;</w:t>
      </w:r>
    </w:p>
    <w:p>
      <w:pPr>
        <w:pStyle w:val="Paragraphe1"/>
        <w:spacing w:before="0" w:after="120"/>
        <w:ind w:start="1418" w:end="0"/>
        <w:rPr/>
      </w:pPr>
      <w:r>
        <w:rPr/>
        <w:t>-for (?) event or situation beyond the control of the Employer;</w:t>
      </w:r>
    </w:p>
    <w:p>
      <w:pPr>
        <w:pStyle w:val="Paragraphe1"/>
        <w:spacing w:before="0" w:after="120"/>
        <w:ind w:start="1418" w:end="0"/>
        <w:rPr/>
      </w:pPr>
      <w:r>
        <w:rPr/>
        <w:t>-disciplinary or administrative dismissal;</w:t>
      </w:r>
    </w:p>
    <w:p>
      <w:pPr>
        <w:pStyle w:val="Paragraphe1"/>
        <w:spacing w:before="0" w:after="120"/>
        <w:ind w:start="1418" w:end="0"/>
        <w:rPr/>
      </w:pPr>
      <w:r>
        <w:rPr/>
        <w:t xml:space="preserve">-attrition; </w:t>
      </w:r>
    </w:p>
    <w:p>
      <w:pPr>
        <w:pStyle w:val="Heading3"/>
        <w:ind w:hanging="0" w:start="0"/>
        <w:rPr/>
      </w:pPr>
      <w:r>
        <w:rPr>
          <w:u w:val="single"/>
        </w:rPr>
        <w:t>Appendix B: Plant Rules and Regulations</w:t>
      </w:r>
      <w:r>
        <w:rPr/>
        <w:t xml:space="preserve"> </w:t>
      </w:r>
    </w:p>
    <w:p>
      <w:pPr>
        <w:pStyle w:val="Heading3"/>
        <w:ind w:hanging="0" w:start="0"/>
        <w:rPr/>
      </w:pPr>
      <w:r>
        <w:rPr>
          <w:u w:val="single"/>
        </w:rPr>
        <w:t>Appendix C: Rules Applicable to the Twelve Hour Shift</w:t>
      </w:r>
      <w:r>
        <w:rPr/>
        <w:t xml:space="preserve"> </w:t>
      </w:r>
    </w:p>
    <w:p>
      <w:pPr>
        <w:pStyle w:val="Heading3"/>
        <w:ind w:hanging="0" w:start="0"/>
        <w:rPr/>
      </w:pPr>
      <w:r>
        <w:rPr>
          <w:u w:val="single"/>
        </w:rPr>
        <w:t>Letters of Intent Renewed</w:t>
      </w:r>
      <w:r>
        <w:rPr/>
        <w:t xml:space="preserve"> (not in the Data Room)</w:t>
      </w:r>
    </w:p>
    <w:p>
      <w:pPr>
        <w:pStyle w:val="Paragraphe1"/>
        <w:ind w:start="1418" w:end="0"/>
        <w:rPr/>
      </w:pPr>
      <w:r>
        <w:rPr/>
        <w:t>-operation during paid holidays;</w:t>
      </w:r>
    </w:p>
    <w:p>
      <w:pPr>
        <w:pStyle w:val="Paragraphe1"/>
        <w:ind w:start="1418" w:end="0"/>
        <w:rPr/>
      </w:pPr>
      <w:r>
        <w:rPr/>
        <w:t>-new unionized positions;</w:t>
      </w:r>
    </w:p>
    <w:p>
      <w:pPr>
        <w:pStyle w:val="Paragraphe1"/>
        <w:ind w:start="1418" w:end="0"/>
        <w:rPr/>
      </w:pPr>
      <w:r>
        <w:rPr/>
        <w:t>-extended health benefits;</w:t>
      </w:r>
    </w:p>
    <w:p>
      <w:pPr>
        <w:pStyle w:val="Paragraphe1"/>
        <w:ind w:start="1418" w:end="0"/>
        <w:rPr/>
      </w:pPr>
      <w:r>
        <w:rPr/>
        <w:t>-vacations;</w:t>
      </w:r>
    </w:p>
    <w:p>
      <w:pPr>
        <w:pStyle w:val="Paragraphe1"/>
        <w:ind w:start="1418" w:end="0"/>
        <w:rPr/>
      </w:pPr>
      <w:r>
        <w:rPr/>
        <w:t>-auto-insurance;</w:t>
      </w:r>
    </w:p>
    <w:p>
      <w:pPr>
        <w:pStyle w:val="Heading1"/>
        <w:rPr/>
      </w:pPr>
      <w:r>
        <w:rPr/>
        <w:t>C.</w:t>
        <w:tab/>
        <w:t>SUMMARY OF THE MONETARY PROVISIONS</w:t>
      </w:r>
    </w:p>
    <w:p>
      <w:pPr>
        <w:pStyle w:val="Heading3"/>
        <w:numPr>
          <w:ilvl w:val="2"/>
          <w:numId w:val="22"/>
        </w:numPr>
        <w:ind w:hanging="0" w:start="0"/>
        <w:rPr/>
      </w:pPr>
      <w:r>
        <w:rPr>
          <w:u w:val="single"/>
        </w:rPr>
        <w:t>Hours of Work</w:t>
      </w:r>
      <w:r>
        <w:rPr/>
        <w:t xml:space="preserve"> (Section 9)</w:t>
      </w:r>
    </w:p>
    <w:p>
      <w:pPr>
        <w:pStyle w:val="Paragraphe1"/>
        <w:rPr/>
      </w:pPr>
      <w:r>
        <w:rPr/>
        <w:t>35 hours per week, 7 hours per day, from 09h00 to 17h00, from Monday to Friday with one (1) hour meal.</w:t>
      </w:r>
    </w:p>
    <w:p>
      <w:pPr>
        <w:pStyle w:val="Heading3"/>
        <w:ind w:hanging="0" w:start="0"/>
        <w:rPr/>
      </w:pPr>
      <w:r>
        <w:rPr>
          <w:u w:val="single"/>
        </w:rPr>
        <w:t>Overtime</w:t>
      </w:r>
      <w:r>
        <w:rPr/>
        <w:t xml:space="preserve"> (Section 10)</w:t>
      </w:r>
    </w:p>
    <w:p>
      <w:pPr>
        <w:pStyle w:val="Paragraphe1"/>
        <w:rPr/>
      </w:pPr>
      <w:r>
        <w:rPr/>
        <w:t>Time and half (1 ½) after 7 hours/day or 35 hours/week paid in lieu time.  Double time during paid holidays.</w:t>
      </w:r>
    </w:p>
    <w:p>
      <w:pPr>
        <w:pStyle w:val="Paragraphe1"/>
        <w:rPr/>
      </w:pPr>
      <w:r>
        <w:rPr/>
        <w:t>Meal tickets for employees required to work more than two (2) hours after his regular hours.</w:t>
      </w:r>
    </w:p>
    <w:p>
      <w:pPr>
        <w:pStyle w:val="Heading3"/>
        <w:keepNext w:val="true"/>
        <w:ind w:hanging="0" w:start="0"/>
        <w:rPr/>
      </w:pPr>
      <w:r>
        <w:rPr>
          <w:u w:val="single"/>
        </w:rPr>
        <w:t>Safety Shoes Allowance</w:t>
      </w:r>
      <w:r>
        <w:rPr/>
        <w:t xml:space="preserve"> (Section 14)</w:t>
      </w:r>
    </w:p>
    <w:p>
      <w:pPr>
        <w:pStyle w:val="Paragraphe1"/>
        <w:rPr/>
      </w:pPr>
      <w:r>
        <w:rPr/>
        <w:t>$85.00 allowance increased to $95.00 on February 2002 for employees required to wear safety shoes.</w:t>
      </w:r>
    </w:p>
    <w:p>
      <w:pPr>
        <w:pStyle w:val="Heading3"/>
        <w:keepNext w:val="true"/>
        <w:ind w:hanging="0" w:start="0"/>
        <w:rPr/>
      </w:pPr>
      <w:r>
        <w:rPr>
          <w:u w:val="single"/>
        </w:rPr>
        <w:t xml:space="preserve">Salary Review </w:t>
      </w:r>
      <w:r>
        <w:rPr/>
        <w:t xml:space="preserve"> (Section 16)</w:t>
      </w:r>
    </w:p>
    <w:p>
      <w:pPr>
        <w:pStyle w:val="Paragraphe1"/>
        <w:rPr/>
      </w:pPr>
      <w:r>
        <w:rPr/>
        <w:t>At hiring anniversary date or anniversary date of the last review.  Evaluation of performance done on accepted forms, private interview with the employee.  The Union may be involved at the employee's request.</w:t>
      </w:r>
    </w:p>
    <w:p>
      <w:pPr>
        <w:pStyle w:val="Paragraphe1"/>
        <w:rPr/>
      </w:pPr>
      <w:r>
        <w:rPr/>
        <w:t>Annual raise is given to all employees within the minimum and the maximum rates specified in Appendix A.</w:t>
      </w:r>
    </w:p>
    <w:p>
      <w:pPr>
        <w:pStyle w:val="Heading3"/>
        <w:ind w:hanging="0" w:start="0"/>
        <w:rPr/>
      </w:pPr>
      <w:r>
        <w:rPr>
          <w:u w:val="single"/>
        </w:rPr>
        <w:t>Severance Allowance</w:t>
      </w:r>
      <w:r>
        <w:rPr/>
        <w:t xml:space="preserve"> (Section 23)</w:t>
      </w:r>
    </w:p>
    <w:p>
      <w:pPr>
        <w:pStyle w:val="Paragraphe1"/>
        <w:rPr/>
      </w:pPr>
      <w:r>
        <w:rPr/>
        <w:t xml:space="preserve">Employees with one (1) year of service and more are eligible to the severance allowance in case of lay off.  </w:t>
      </w:r>
      <w:r>
        <w:rPr>
          <w:b/>
        </w:rPr>
        <w:t>The allowance is one (1) week per year of continuous service</w:t>
      </w:r>
      <w:r>
        <w:rPr/>
        <w:t>.  First half of the allowance is paid six (6) weeks after lay off and the second half, three (3) months after lay off.</w:t>
      </w:r>
    </w:p>
    <w:p>
      <w:pPr>
        <w:pStyle w:val="Paragraphe1"/>
        <w:rPr/>
      </w:pPr>
      <w:r>
        <w:rPr/>
        <w:t>Payment of the severance allowance does not affect recall rates. However, if the employee is recalled to work before full payment of the severance allowance, the allowance is cancelled or the unpaid portion suspended.  If the employee is recalled after full payment of the severance allowance, he begins a new period of service.</w:t>
      </w:r>
    </w:p>
    <w:p>
      <w:pPr>
        <w:pStyle w:val="Heading3"/>
        <w:keepNext w:val="true"/>
        <w:ind w:hanging="0" w:start="0"/>
        <w:rPr/>
      </w:pPr>
      <w:r>
        <w:rPr>
          <w:u w:val="single"/>
        </w:rPr>
        <w:t>Annual Vacations</w:t>
      </w:r>
      <w:r>
        <w:rPr/>
        <w:t xml:space="preserve"> (Section 24)</w:t>
      </w:r>
    </w:p>
    <w:tbl>
      <w:tblPr>
        <w:tblW w:w="5774" w:type="dxa"/>
        <w:jc w:val="start"/>
        <w:tblInd w:w="880" w:type="dxa"/>
        <w:tblLayout w:type="fixed"/>
        <w:tblCellMar>
          <w:top w:w="0" w:type="dxa"/>
          <w:start w:w="70" w:type="dxa"/>
          <w:bottom w:w="0" w:type="dxa"/>
          <w:end w:w="70" w:type="dxa"/>
        </w:tblCellMar>
      </w:tblPr>
      <w:tblGrid>
        <w:gridCol w:w="3406"/>
        <w:gridCol w:w="2368"/>
      </w:tblGrid>
      <w:tr>
        <w:trPr/>
        <w:tc>
          <w:tcPr>
            <w:tcW w:w="3406" w:type="dxa"/>
            <w:tcBorders>
              <w:top w:val="single" w:sz="4" w:space="0" w:color="000000"/>
              <w:start w:val="single" w:sz="4" w:space="0" w:color="000000"/>
              <w:bottom w:val="single" w:sz="4" w:space="0" w:color="000000"/>
              <w:end w:val="single" w:sz="4" w:space="0" w:color="000000"/>
            </w:tcBorders>
          </w:tcPr>
          <w:p>
            <w:pPr>
              <w:pStyle w:val="Heading3"/>
              <w:keepNext w:val="true"/>
              <w:numPr>
                <w:ilvl w:val="0"/>
                <w:numId w:val="0"/>
              </w:numPr>
              <w:spacing w:before="120" w:after="240"/>
              <w:ind w:hanging="650" w:start="650" w:end="0"/>
              <w:jc w:val="center"/>
              <w:rPr>
                <w:b/>
              </w:rPr>
            </w:pPr>
            <w:r>
              <w:rPr>
                <w:b/>
              </w:rPr>
              <w:t>Seniority</w:t>
            </w:r>
          </w:p>
        </w:tc>
        <w:tc>
          <w:tcPr>
            <w:tcW w:w="2368"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b/>
              </w:rPr>
            </w:pPr>
            <w:r>
              <w:rPr>
                <w:b/>
              </w:rPr>
              <w:t>Duration</w:t>
            </w:r>
          </w:p>
        </w:tc>
      </w:tr>
      <w:tr>
        <w:trPr/>
        <w:tc>
          <w:tcPr>
            <w:tcW w:w="3406"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6 months to 1 year</w:t>
            </w:r>
          </w:p>
        </w:tc>
        <w:tc>
          <w:tcPr>
            <w:tcW w:w="2368"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1 week</w:t>
            </w:r>
          </w:p>
        </w:tc>
      </w:tr>
      <w:tr>
        <w:trPr/>
        <w:tc>
          <w:tcPr>
            <w:tcW w:w="3406"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after 1 year</w:t>
            </w:r>
          </w:p>
        </w:tc>
        <w:tc>
          <w:tcPr>
            <w:tcW w:w="2368"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2 weeks</w:t>
            </w:r>
          </w:p>
        </w:tc>
      </w:tr>
      <w:tr>
        <w:trPr/>
        <w:tc>
          <w:tcPr>
            <w:tcW w:w="3406"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after 4 years</w:t>
            </w:r>
          </w:p>
        </w:tc>
        <w:tc>
          <w:tcPr>
            <w:tcW w:w="2368"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3 weeks</w:t>
            </w:r>
          </w:p>
        </w:tc>
      </w:tr>
      <w:tr>
        <w:trPr/>
        <w:tc>
          <w:tcPr>
            <w:tcW w:w="3406"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after 9 years</w:t>
            </w:r>
          </w:p>
        </w:tc>
        <w:tc>
          <w:tcPr>
            <w:tcW w:w="2368"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4 weeks</w:t>
            </w:r>
          </w:p>
        </w:tc>
      </w:tr>
      <w:tr>
        <w:trPr/>
        <w:tc>
          <w:tcPr>
            <w:tcW w:w="3406"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after 18 years</w:t>
            </w:r>
          </w:p>
        </w:tc>
        <w:tc>
          <w:tcPr>
            <w:tcW w:w="2368"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5 weeks</w:t>
            </w:r>
          </w:p>
        </w:tc>
      </w:tr>
      <w:tr>
        <w:trPr/>
        <w:tc>
          <w:tcPr>
            <w:tcW w:w="3406"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after 23 years</w:t>
            </w:r>
          </w:p>
        </w:tc>
        <w:tc>
          <w:tcPr>
            <w:tcW w:w="2368"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6 weeks</w:t>
            </w:r>
          </w:p>
        </w:tc>
      </w:tr>
    </w:tbl>
    <w:p>
      <w:pPr>
        <w:pStyle w:val="Heading3"/>
        <w:numPr>
          <w:ilvl w:val="0"/>
          <w:numId w:val="0"/>
        </w:numPr>
        <w:ind w:hanging="0" w:start="720" w:end="0"/>
        <w:jc w:val="center"/>
        <w:rPr/>
      </w:pPr>
      <w:r>
        <w:rPr/>
      </w:r>
    </w:p>
    <w:p>
      <w:pPr>
        <w:pStyle w:val="Paragraphe1"/>
        <w:keepNext w:val="true"/>
        <w:rPr/>
      </w:pPr>
      <w:r>
        <w:rPr/>
        <w:t>Additional vacation:</w:t>
      </w:r>
    </w:p>
    <w:p>
      <w:pPr>
        <w:pStyle w:val="Paragraphe1"/>
        <w:keepNext w:val="true"/>
        <w:rPr/>
      </w:pPr>
      <w:r>
        <w:rPr/>
        <w:t xml:space="preserve">After twenty-five (25) years of service, the employees reaching the age of </w:t>
      </w:r>
    </w:p>
    <w:tbl>
      <w:tblPr>
        <w:tblW w:w="6030" w:type="dxa"/>
        <w:jc w:val="start"/>
        <w:tblInd w:w="880" w:type="dxa"/>
        <w:tblLayout w:type="fixed"/>
        <w:tblCellMar>
          <w:top w:w="0" w:type="dxa"/>
          <w:start w:w="70" w:type="dxa"/>
          <w:bottom w:w="0" w:type="dxa"/>
          <w:end w:w="70" w:type="dxa"/>
        </w:tblCellMar>
      </w:tblPr>
      <w:tblGrid>
        <w:gridCol w:w="3406"/>
        <w:gridCol w:w="2624"/>
      </w:tblGrid>
      <w:tr>
        <w:trPr/>
        <w:tc>
          <w:tcPr>
            <w:tcW w:w="3406" w:type="dxa"/>
            <w:tcBorders>
              <w:top w:val="single" w:sz="4" w:space="0" w:color="000000"/>
              <w:start w:val="single" w:sz="4" w:space="0" w:color="000000"/>
              <w:bottom w:val="single" w:sz="4" w:space="0" w:color="000000"/>
              <w:end w:val="single" w:sz="4" w:space="0" w:color="000000"/>
            </w:tcBorders>
          </w:tcPr>
          <w:p>
            <w:pPr>
              <w:pStyle w:val="Heading3"/>
              <w:keepNext w:val="true"/>
              <w:numPr>
                <w:ilvl w:val="0"/>
                <w:numId w:val="0"/>
              </w:numPr>
              <w:spacing w:before="120" w:after="240"/>
              <w:ind w:hanging="650" w:start="650" w:end="0"/>
              <w:jc w:val="center"/>
              <w:rPr>
                <w:b/>
              </w:rPr>
            </w:pPr>
            <w:r>
              <w:rPr>
                <w:b/>
              </w:rPr>
              <w:t>Age</w:t>
            </w:r>
          </w:p>
        </w:tc>
        <w:tc>
          <w:tcPr>
            <w:tcW w:w="2624"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b/>
              </w:rPr>
            </w:pPr>
            <w:r>
              <w:rPr>
                <w:b/>
              </w:rPr>
              <w:t>Duration</w:t>
            </w:r>
          </w:p>
        </w:tc>
      </w:tr>
      <w:tr>
        <w:trPr/>
        <w:tc>
          <w:tcPr>
            <w:tcW w:w="3406"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 xml:space="preserve">60 </w:t>
            </w:r>
          </w:p>
        </w:tc>
        <w:tc>
          <w:tcPr>
            <w:tcW w:w="2624"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1 week</w:t>
            </w:r>
          </w:p>
        </w:tc>
      </w:tr>
      <w:tr>
        <w:trPr/>
        <w:tc>
          <w:tcPr>
            <w:tcW w:w="3406"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 xml:space="preserve">61 </w:t>
            </w:r>
          </w:p>
        </w:tc>
        <w:tc>
          <w:tcPr>
            <w:tcW w:w="2624"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2 weeks</w:t>
            </w:r>
          </w:p>
        </w:tc>
      </w:tr>
      <w:tr>
        <w:trPr/>
        <w:tc>
          <w:tcPr>
            <w:tcW w:w="3406"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 xml:space="preserve">62 </w:t>
            </w:r>
          </w:p>
        </w:tc>
        <w:tc>
          <w:tcPr>
            <w:tcW w:w="2624"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3 weeks</w:t>
            </w:r>
          </w:p>
        </w:tc>
      </w:tr>
      <w:tr>
        <w:trPr/>
        <w:tc>
          <w:tcPr>
            <w:tcW w:w="3406"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 xml:space="preserve">63 </w:t>
            </w:r>
          </w:p>
        </w:tc>
        <w:tc>
          <w:tcPr>
            <w:tcW w:w="2624"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4 weeks</w:t>
            </w:r>
          </w:p>
        </w:tc>
      </w:tr>
      <w:tr>
        <w:trPr/>
        <w:tc>
          <w:tcPr>
            <w:tcW w:w="3406"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 xml:space="preserve">64 </w:t>
            </w:r>
          </w:p>
        </w:tc>
        <w:tc>
          <w:tcPr>
            <w:tcW w:w="2624"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5 weeks</w:t>
            </w:r>
          </w:p>
        </w:tc>
      </w:tr>
    </w:tbl>
    <w:p>
      <w:pPr>
        <w:pStyle w:val="Heading3"/>
        <w:numPr>
          <w:ilvl w:val="0"/>
          <w:numId w:val="0"/>
        </w:numPr>
        <w:ind w:hanging="0" w:start="720" w:end="0"/>
        <w:rPr/>
      </w:pPr>
      <w:r>
        <w:rPr/>
      </w:r>
    </w:p>
    <w:p>
      <w:pPr>
        <w:pStyle w:val="Heading3"/>
        <w:ind w:hanging="0" w:start="0"/>
        <w:rPr/>
      </w:pPr>
      <w:r>
        <w:rPr>
          <w:u w:val="single"/>
        </w:rPr>
        <w:t>Paid Holidays</w:t>
      </w:r>
      <w:r>
        <w:rPr/>
        <w:t xml:space="preserve"> (Section 26): 8 fixed, 1 or 4 floaters depending on seniority</w:t>
      </w:r>
    </w:p>
    <w:p>
      <w:pPr>
        <w:pStyle w:val="Heading3"/>
        <w:keepNext w:val="true"/>
        <w:ind w:hanging="0" w:start="0"/>
        <w:rPr/>
      </w:pPr>
      <w:r>
        <w:rPr>
          <w:u w:val="single"/>
        </w:rPr>
        <w:t xml:space="preserve">Sick Leaves </w:t>
      </w:r>
      <w:r>
        <w:rPr/>
        <w:t xml:space="preserve"> (Section 28): No reduction of salary for the first three (3) days.</w:t>
      </w:r>
    </w:p>
    <w:p>
      <w:pPr>
        <w:pStyle w:val="Heading3"/>
        <w:ind w:hanging="0" w:start="0"/>
        <w:rPr/>
      </w:pPr>
      <w:r>
        <w:rPr>
          <w:u w:val="single"/>
        </w:rPr>
        <w:t>Bureavement Leaves</w:t>
      </w:r>
      <w:r>
        <w:rPr/>
        <w:t xml:space="preserve"> (Section 29): 1, 3 or 5 days.</w:t>
      </w:r>
    </w:p>
    <w:p>
      <w:pPr>
        <w:pStyle w:val="Heading3"/>
        <w:ind w:hanging="0" w:start="0"/>
        <w:rPr/>
      </w:pPr>
      <w:r>
        <w:rPr>
          <w:u w:val="single"/>
        </w:rPr>
        <w:t>Jury Duty Provisions</w:t>
      </w:r>
      <w:r>
        <w:rPr/>
        <w:t xml:space="preserve"> (Section 32)</w:t>
      </w:r>
    </w:p>
    <w:p>
      <w:pPr>
        <w:pStyle w:val="Heading3"/>
        <w:ind w:hanging="0" w:start="0"/>
        <w:rPr/>
      </w:pPr>
      <w:r>
        <w:rPr>
          <w:u w:val="single"/>
        </w:rPr>
        <w:t xml:space="preserve">Welfare </w:t>
      </w:r>
      <w:r>
        <w:rPr/>
        <w:t>(Section 33)</w:t>
      </w:r>
    </w:p>
    <w:p>
      <w:pPr>
        <w:pStyle w:val="Paragraphe1"/>
        <w:rPr/>
      </w:pPr>
      <w:r>
        <w:rPr/>
        <w:t>The Group Insurance Plan includes the following benefits:</w:t>
      </w:r>
    </w:p>
    <w:p>
      <w:pPr>
        <w:pStyle w:val="Paragraphe1"/>
        <w:rPr/>
      </w:pPr>
      <w:r>
        <w:rPr/>
        <w:t>-life insurance:  the Employer pays the premium for the first $65,000.00 coverage.  The excess coverage is paid by the employee at $0.30 per $1,000.00 coverage maximum;</w:t>
      </w:r>
    </w:p>
    <w:p>
      <w:pPr>
        <w:pStyle w:val="Paragraphe1"/>
        <w:rPr/>
      </w:pPr>
      <w:r>
        <w:rPr/>
        <w:t>-weekly indemnity:  paid in full by the Employer;</w:t>
      </w:r>
    </w:p>
    <w:p>
      <w:pPr>
        <w:pStyle w:val="Paragraphe1"/>
        <w:rPr/>
      </w:pPr>
      <w:r>
        <w:rPr/>
        <w:t>-long-term disability:  paid in full by the Employer;</w:t>
      </w:r>
    </w:p>
    <w:p>
      <w:pPr>
        <w:pStyle w:val="Paragraphe1"/>
        <w:rPr/>
      </w:pPr>
      <w:r>
        <w:rPr/>
        <w:t>-major medical:  the Employer's contribution is currently cap at $12.00 per month for individual coverage and $33.00 per month for family coverage.  The cap is increased as follows:</w:t>
      </w:r>
    </w:p>
    <w:p>
      <w:pPr>
        <w:pStyle w:val="Paragraphe1"/>
        <w:spacing w:before="0" w:after="120"/>
        <w:ind w:start="1418" w:end="0"/>
        <w:rPr/>
      </w:pPr>
      <w:r>
        <w:rPr/>
        <w:t>January 1, 2000:</w:t>
        <w:tab/>
        <w:tab/>
        <w:t>2 %</w:t>
      </w:r>
    </w:p>
    <w:p>
      <w:pPr>
        <w:pStyle w:val="Paragraphe1"/>
        <w:spacing w:before="0" w:after="120"/>
        <w:ind w:start="1418" w:end="0"/>
        <w:rPr/>
      </w:pPr>
      <w:r>
        <w:rPr/>
        <w:t>January 1, 2001:</w:t>
        <w:tab/>
        <w:tab/>
        <w:t>2 %</w:t>
      </w:r>
    </w:p>
    <w:p>
      <w:pPr>
        <w:pStyle w:val="Paragraphe1"/>
        <w:spacing w:before="0" w:after="120"/>
        <w:ind w:start="1418" w:end="0"/>
        <w:rPr/>
      </w:pPr>
      <w:r>
        <w:rPr/>
        <w:t>January 1, 2002:</w:t>
        <w:tab/>
        <w:tab/>
        <w:t>2 %</w:t>
      </w:r>
    </w:p>
    <w:p>
      <w:pPr>
        <w:pStyle w:val="Paragraphe1"/>
        <w:spacing w:before="0" w:after="120"/>
        <w:ind w:start="1418" w:end="0"/>
        <w:rPr/>
      </w:pPr>
      <w:r>
        <w:rPr/>
        <w:t>January 1, 2003:</w:t>
        <w:tab/>
        <w:tab/>
        <w:t>2 %</w:t>
      </w:r>
    </w:p>
    <w:p>
      <w:pPr>
        <w:pStyle w:val="Paragraphe1"/>
        <w:spacing w:before="0" w:after="120"/>
        <w:ind w:start="1418" w:end="0"/>
        <w:rPr/>
      </w:pPr>
      <w:r>
        <w:rPr/>
        <w:t>January 1, 2004:</w:t>
        <w:tab/>
        <w:tab/>
        <w:t>2 %</w:t>
      </w:r>
    </w:p>
    <w:p>
      <w:pPr>
        <w:pStyle w:val="Paragraphe1"/>
        <w:spacing w:before="0" w:after="120"/>
        <w:ind w:start="1418" w:end="0"/>
        <w:rPr/>
      </w:pPr>
      <w:r>
        <w:rPr/>
      </w:r>
    </w:p>
    <w:p>
      <w:pPr>
        <w:pStyle w:val="Paragraphe1"/>
        <w:spacing w:before="0" w:after="120"/>
        <w:rPr/>
      </w:pPr>
      <w:r>
        <w:rPr/>
        <w:t>-dental:  the Employer's contribution currently cap at $14.00 per month for individual coverage and $30.00 per month for family coverage escalates every year.</w:t>
      </w:r>
    </w:p>
    <w:p>
      <w:pPr>
        <w:pStyle w:val="Heading3"/>
        <w:ind w:hanging="0" w:start="0"/>
        <w:rPr/>
      </w:pPr>
      <w:r>
        <w:rPr>
          <w:u w:val="single"/>
        </w:rPr>
        <w:t xml:space="preserve">Pension Plan </w:t>
      </w:r>
      <w:r>
        <w:rPr/>
        <w:t>(Section 34)</w:t>
      </w:r>
    </w:p>
    <w:p>
      <w:pPr>
        <w:pStyle w:val="Paragraphe1"/>
        <w:rPr/>
      </w:pPr>
      <w:r>
        <w:rPr/>
        <w:t>Pension Plan is part of the collective agreement and cannot be modified during the life of the collective agreement except for situations beyond the control of the parties.</w:t>
      </w:r>
    </w:p>
    <w:p>
      <w:pPr>
        <w:pStyle w:val="Paragraphe1"/>
        <w:rPr/>
      </w:pPr>
      <w:r>
        <w:rPr/>
        <w:t xml:space="preserve">Eligibility:  participation is mandatory for all employees who have reached twenty-one (21) years of age and who have completed at least one (1) year of continuous service. </w:t>
      </w:r>
    </w:p>
    <w:p>
      <w:pPr>
        <w:pStyle w:val="Paragraphe1"/>
        <w:rPr/>
      </w:pPr>
      <w:r>
        <w:rPr/>
        <w:t>Contribution of active participant:  4.5 % of regular earnings up to the maximum admissible gains determined by the Quebec Pension Plan plus 6 % of regular earnings in excess of the admissible gains.</w:t>
      </w:r>
    </w:p>
    <w:p>
      <w:pPr>
        <w:pStyle w:val="Paragraphe1"/>
        <w:rPr/>
      </w:pPr>
      <w:r>
        <w:rPr/>
        <w:t>Pre-retirement option for employees with twenty (20) years of service and fifty-five (55) years of age.</w:t>
      </w:r>
    </w:p>
    <w:p>
      <w:pPr>
        <w:pStyle w:val="Paragraphe1"/>
        <w:rPr/>
      </w:pPr>
      <w:r>
        <w:rPr/>
        <w:t>The terms and conditions of this Pension Plan will be reviewed by Mr. Yves Gagnon of the firm Watson Wyatt who will file his own report.</w:t>
      </w:r>
    </w:p>
    <w:p>
      <w:pPr>
        <w:pStyle w:val="Heading3"/>
        <w:ind w:hanging="0" w:start="0"/>
        <w:rPr/>
      </w:pPr>
      <w:r>
        <w:rPr>
          <w:u w:val="single"/>
        </w:rPr>
        <w:t>Salary (Appendix A)</w:t>
      </w:r>
      <w:r>
        <w:rPr/>
        <w:t xml:space="preserve"> </w:t>
      </w:r>
    </w:p>
    <w:p>
      <w:pPr>
        <w:pStyle w:val="Paragraphe1"/>
        <w:rPr/>
      </w:pPr>
      <w:r>
        <w:rPr/>
        <w:t>The employees are paid every week.</w:t>
      </w:r>
    </w:p>
    <w:p>
      <w:pPr>
        <w:pStyle w:val="Heading3"/>
        <w:ind w:hanging="0" w:start="0"/>
        <w:rPr/>
      </w:pPr>
      <w:r>
        <w:rPr>
          <w:u w:val="single"/>
        </w:rPr>
        <w:t>Salary Increases</w:t>
      </w:r>
      <w:r>
        <w:rPr/>
        <w:t xml:space="preserve"> </w:t>
      </w:r>
    </w:p>
    <w:p>
      <w:pPr>
        <w:pStyle w:val="Paragraphe1"/>
        <w:spacing w:before="0" w:after="120"/>
        <w:ind w:start="1418" w:end="0"/>
        <w:rPr/>
      </w:pPr>
      <w:r>
        <w:rPr/>
        <w:t>May 1, 2000:</w:t>
        <w:tab/>
        <w:tab/>
        <w:t>$0.50/hour</w:t>
      </w:r>
    </w:p>
    <w:p>
      <w:pPr>
        <w:pStyle w:val="Paragraphe1"/>
        <w:spacing w:before="0" w:after="120"/>
        <w:ind w:start="1418" w:end="0"/>
        <w:rPr/>
      </w:pPr>
      <w:r>
        <w:rPr/>
        <w:t>May 1, 2001:</w:t>
        <w:tab/>
        <w:tab/>
        <w:t>2 %</w:t>
      </w:r>
    </w:p>
    <w:p>
      <w:pPr>
        <w:pStyle w:val="Paragraphe1"/>
        <w:spacing w:before="0" w:after="120"/>
        <w:ind w:start="1418" w:end="0"/>
        <w:rPr/>
      </w:pPr>
      <w:r>
        <w:rPr/>
        <w:t>May 1, 2002:</w:t>
        <w:tab/>
        <w:tab/>
        <w:t>2 %</w:t>
      </w:r>
    </w:p>
    <w:p>
      <w:pPr>
        <w:pStyle w:val="Paragraphe1"/>
        <w:spacing w:before="0" w:after="120"/>
        <w:ind w:start="1418" w:end="0"/>
        <w:rPr/>
      </w:pPr>
      <w:r>
        <w:rPr/>
        <w:t>May 1, 2003</w:t>
        <w:tab/>
        <w:tab/>
        <w:t>2 %</w:t>
      </w:r>
    </w:p>
    <w:p>
      <w:pPr>
        <w:pStyle w:val="Heading3"/>
        <w:ind w:hanging="0" w:start="0"/>
        <w:rPr/>
      </w:pPr>
      <w:r>
        <w:rPr>
          <w:u w:val="single"/>
        </w:rPr>
        <w:t xml:space="preserve">Wage Scales </w:t>
      </w:r>
    </w:p>
    <w:p>
      <w:pPr>
        <w:pStyle w:val="Paragraphe1"/>
        <w:rPr/>
      </w:pPr>
      <w:r>
        <w:rPr/>
        <w:t>Eight (8) echelons lines of progression: minimum - standard - maximum</w:t>
      </w:r>
    </w:p>
    <w:p>
      <w:pPr>
        <w:pStyle w:val="Paragraphe1"/>
        <w:spacing w:before="0" w:after="120"/>
        <w:ind w:start="706" w:end="0"/>
        <w:rPr/>
      </w:pPr>
      <w:r>
        <w:rPr/>
        <w:t>Shift premium:  $0.40/hour for work performed between 16h00 and 24h00 and</w:t>
      </w:r>
    </w:p>
    <w:p>
      <w:pPr>
        <w:pStyle w:val="Paragraphe1"/>
        <w:rPr/>
      </w:pPr>
      <w:r>
        <w:rPr/>
        <w:tab/>
        <w:tab/>
        <w:t xml:space="preserve">  $0.60/hour for work performed between 24h00 and 08h00.</w:t>
      </w:r>
    </w:p>
    <w:p>
      <w:pPr>
        <w:pStyle w:val="Heading1"/>
        <w:keepNext w:val="true"/>
        <w:numPr>
          <w:ilvl w:val="0"/>
          <w:numId w:val="12"/>
        </w:numPr>
        <w:rPr/>
      </w:pPr>
      <w:r>
        <w:rPr/>
        <w:t>OBSERVATIONS</w:t>
      </w:r>
    </w:p>
    <w:p>
      <w:pPr>
        <w:pStyle w:val="Paragraphe1"/>
        <w:rPr/>
      </w:pPr>
      <w:r>
        <w:rPr/>
        <w:t>The conditions provided for by the CEP, Local 200 collective agreement are in my opinion very advantageous for the employees.  However, I cannot comment upon how these working conditions compare to those that are currently in force in other similar undertakings.</w:t>
      </w:r>
    </w:p>
    <w:p>
      <w:pPr>
        <w:pStyle w:val="Paragraphe1"/>
        <w:rPr/>
      </w:pPr>
      <w:r>
        <w:rPr/>
        <w:t>The non-monetary provisions of the collective agreement restrict the management rights provision.  Many aspects of labour relations are regulated and the Employer’s actions are closely monitored by the Union with the consequence that the Employer appears to have little flexibility in the management of its Human Resources.</w:t>
      </w:r>
    </w:p>
    <w:p>
      <w:pPr>
        <w:pStyle w:val="Style11"/>
        <w:numPr>
          <w:ilvl w:val="0"/>
          <w:numId w:val="3"/>
        </w:numPr>
        <w:ind w:hanging="0" w:start="709"/>
        <w:rPr/>
      </w:pPr>
      <w:r>
        <w:rPr/>
        <w:t>THE CEP LOCALS 137 AND 250 COLLECTIVE AGREEMENT:</w:t>
      </w:r>
    </w:p>
    <w:p>
      <w:pPr>
        <w:pStyle w:val="Heading1"/>
        <w:numPr>
          <w:ilvl w:val="0"/>
          <w:numId w:val="23"/>
        </w:numPr>
        <w:rPr/>
      </w:pPr>
      <w:r>
        <w:rPr/>
        <w:t>PRELIMINARY REMARKS:</w:t>
      </w:r>
    </w:p>
    <w:p>
      <w:pPr>
        <w:pStyle w:val="1Titre10"/>
        <w:numPr>
          <w:ilvl w:val="0"/>
          <w:numId w:val="5"/>
        </w:numPr>
        <w:rPr/>
      </w:pPr>
      <w:r>
        <w:rPr/>
        <w:t>By certification issued on July 6, 1944 and modified on October 19, 1972, June 4, 1975 and September 29, 1976, CEP Local 137 represents “</w:t>
      </w:r>
      <w:r>
        <w:rPr>
          <w:b/>
        </w:rPr>
        <w:t>all employees falling under the usual jurisdiction of said brotherhood</w:t>
      </w:r>
      <w:r>
        <w:rPr/>
        <w:t xml:space="preserve">” working for Papeterie Reed Limitée.  Subsequently, the certification certificate was modified to reflect the transmission of the rights and obligations according to Section 45 of the </w:t>
      </w:r>
      <w:r>
        <w:rPr>
          <w:i/>
        </w:rPr>
        <w:t>Labour Code</w:t>
      </w:r>
      <w:r>
        <w:rPr/>
        <w:t xml:space="preserve"> from Papeterie Reed Limitée to Daishowa Inc.</w:t>
      </w:r>
    </w:p>
    <w:p>
      <w:pPr>
        <w:pStyle w:val="1Titre10"/>
        <w:numPr>
          <w:ilvl w:val="0"/>
          <w:numId w:val="5"/>
        </w:numPr>
        <w:rPr/>
      </w:pPr>
      <w:r>
        <w:rPr/>
        <w:t>By certification issued on July 6, 1944 and modified on July 3, 1958, October 19, 1972, June 4, 1975 and September 29, 1976, CEP Local 250 represents “</w:t>
      </w:r>
      <w:r>
        <w:rPr>
          <w:b/>
        </w:rPr>
        <w:t>all paper workers and employees related to the professional occupation of paper worker in accordance with the jurisdiction of brotherhood save and except those employees excluded by the law</w:t>
      </w:r>
      <w:r>
        <w:rPr/>
        <w:t xml:space="preserve">” working for Papeterie Reed Limitée.  Subsequently, the certification certificate was modified to reflect the transmission of the rights and obligations according to Section 45 of the </w:t>
      </w:r>
      <w:r>
        <w:rPr>
          <w:i/>
        </w:rPr>
        <w:t>Labour Code</w:t>
      </w:r>
      <w:r>
        <w:rPr/>
        <w:t xml:space="preserve"> from Papeterie Reed Limitée to Daishowa Inc.</w:t>
      </w:r>
    </w:p>
    <w:p>
      <w:pPr>
        <w:pStyle w:val="1Titre10"/>
        <w:numPr>
          <w:ilvl w:val="0"/>
          <w:numId w:val="5"/>
        </w:numPr>
        <w:rPr/>
      </w:pPr>
      <w:r>
        <w:rPr/>
        <w:t xml:space="preserve">The CEP Local 137 and 250 collective agreement came into force on May 1, 1998 and </w:t>
      </w:r>
      <w:r>
        <w:rPr>
          <w:b/>
        </w:rPr>
        <w:t>will expire on April 30, 2004</w:t>
      </w:r>
      <w:r>
        <w:rPr/>
        <w:t>.</w:t>
      </w:r>
    </w:p>
    <w:p>
      <w:pPr>
        <w:pStyle w:val="1Titre10"/>
        <w:numPr>
          <w:ilvl w:val="0"/>
          <w:numId w:val="5"/>
        </w:numPr>
        <w:rPr/>
      </w:pPr>
      <w:r>
        <w:rPr/>
        <w:t>The records of the Department of Labour show that 275 employees are unionized with Local 250 which cannot be confirmed with the documents in the data room neither can we determine the number of employees working for Daishowa Inc. unionized with members of Local 139.</w:t>
      </w:r>
    </w:p>
    <w:p>
      <w:pPr>
        <w:pStyle w:val="1Titre10"/>
        <w:numPr>
          <w:ilvl w:val="0"/>
          <w:numId w:val="5"/>
        </w:numPr>
        <w:rPr/>
      </w:pPr>
      <w:r>
        <w:rPr/>
        <w:t>The negotiations of the major issues are done at the level of the Eastern Canada Newsprint Group (ECNG) and Daishowa being part of the Pulp and Paper Industry is subject to the vagaries of pattern bargaining in the industry.</w:t>
      </w:r>
    </w:p>
    <w:p>
      <w:pPr>
        <w:pStyle w:val="Heading1"/>
        <w:keepNext w:val="true"/>
        <w:numPr>
          <w:ilvl w:val="0"/>
          <w:numId w:val="11"/>
        </w:numPr>
        <w:rPr/>
      </w:pPr>
      <w:r>
        <w:rPr/>
        <w:t>SUMMARY OF THE NON-MONETARY PROVISIONS;</w:t>
      </w:r>
    </w:p>
    <w:p>
      <w:pPr>
        <w:pStyle w:val="Heading3"/>
        <w:keepNext w:val="true"/>
        <w:numPr>
          <w:ilvl w:val="2"/>
          <w:numId w:val="24"/>
        </w:numPr>
        <w:spacing w:before="0" w:after="120"/>
        <w:ind w:hanging="0" w:start="0"/>
        <w:rPr/>
      </w:pPr>
      <w:r>
        <w:rPr/>
        <w:t xml:space="preserve">Union Recognition (Section 2): </w:t>
        <w:tab/>
        <w:t>Local 137:  production and maintenance employees.</w:t>
      </w:r>
    </w:p>
    <w:p>
      <w:pPr>
        <w:pStyle w:val="Paragraphe1"/>
        <w:ind w:firstLine="709" w:start="4254" w:end="0"/>
        <w:rPr/>
      </w:pPr>
      <w:r>
        <w:rPr/>
        <w:t>Local 250  paper makers and paper Board.</w:t>
      </w:r>
    </w:p>
    <w:p>
      <w:pPr>
        <w:pStyle w:val="Heading3"/>
        <w:ind w:hanging="0" w:start="0"/>
        <w:rPr/>
      </w:pPr>
      <w:r>
        <w:rPr>
          <w:u w:val="single"/>
        </w:rPr>
        <w:t>Management Rights</w:t>
      </w:r>
      <w:r>
        <w:rPr/>
        <w:t xml:space="preserve"> (Section 4): Preserved.</w:t>
      </w:r>
    </w:p>
    <w:p>
      <w:pPr>
        <w:pStyle w:val="Heading3"/>
        <w:ind w:hanging="0" w:start="0"/>
        <w:rPr/>
      </w:pPr>
      <w:r>
        <w:rPr>
          <w:u w:val="single"/>
        </w:rPr>
        <w:t>No Strike - No Lock-out Provisions</w:t>
      </w:r>
      <w:r>
        <w:rPr/>
        <w:t xml:space="preserve"> (Section 6)</w:t>
      </w:r>
    </w:p>
    <w:p>
      <w:pPr>
        <w:pStyle w:val="Heading3"/>
        <w:ind w:hanging="0" w:start="0"/>
        <w:rPr/>
      </w:pPr>
      <w:r>
        <w:rPr>
          <w:u w:val="single"/>
        </w:rPr>
        <w:t>Subcontract</w:t>
      </w:r>
      <w:r>
        <w:rPr/>
        <w:t xml:space="preserve"> (Section 7):</w:t>
      </w:r>
    </w:p>
    <w:p>
      <w:pPr>
        <w:pStyle w:val="Paragraphe1"/>
        <w:rPr/>
      </w:pPr>
      <w:r>
        <w:rPr/>
        <w:t>No subcontract for maintenance and repair work normally performed by the maintenance crew or for which the plant is equipped or for which the employees are qualified.  The Employer will make sure that the maintenance employees have the knowledge to do the maintenance on the equipment.  Also, the Employer agrees not to contract out the current production processes.</w:t>
      </w:r>
    </w:p>
    <w:p>
      <w:pPr>
        <w:pStyle w:val="Paragraphe1"/>
        <w:rPr/>
      </w:pPr>
      <w:r>
        <w:rPr/>
        <w:t>Prior notification of one week to the Union must be given by the Employer of its intention to give subcontract except in emergency situations.</w:t>
      </w:r>
    </w:p>
    <w:p>
      <w:pPr>
        <w:pStyle w:val="Heading3"/>
        <w:ind w:hanging="0" w:start="0"/>
        <w:rPr/>
      </w:pPr>
      <w:r>
        <w:rPr>
          <w:u w:val="single"/>
        </w:rPr>
        <w:t>Job Description and Evaluation Program</w:t>
      </w:r>
      <w:r>
        <w:rPr/>
        <w:t xml:space="preserve"> (Section 9):</w:t>
      </w:r>
    </w:p>
    <w:p>
      <w:pPr>
        <w:pStyle w:val="Paragraphe1"/>
        <w:rPr/>
      </w:pPr>
      <w:r>
        <w:rPr/>
        <w:t>The job description and evaluation program serves as the basis to determine echelons for existing positions, newly created positions and positions substantially modified.  The job description of any newly created position or position substantially modified must be submitted to the Joint Committee.</w:t>
      </w:r>
    </w:p>
    <w:p>
      <w:pPr>
        <w:pStyle w:val="Paragraphe1"/>
        <w:rPr/>
      </w:pPr>
      <w:r>
        <w:rPr/>
        <w:t>The Union undertakes not to modify any essential elements of any job evaluation program of any members of the Eastern Canada Newsprint Group (ECNP) or any other pulp and paper companies of the Eastern part of Canada unless all companies agreed.</w:t>
      </w:r>
    </w:p>
    <w:p>
      <w:pPr>
        <w:pStyle w:val="Heading3"/>
        <w:ind w:hanging="0" w:start="0"/>
        <w:rPr/>
      </w:pPr>
      <w:r>
        <w:rPr>
          <w:u w:val="single"/>
        </w:rPr>
        <w:t>Union Security</w:t>
      </w:r>
      <w:r>
        <w:rPr/>
        <w:t xml:space="preserve"> (Section 10): Union shop provisions.</w:t>
      </w:r>
    </w:p>
    <w:p>
      <w:pPr>
        <w:pStyle w:val="Heading3"/>
        <w:ind w:hanging="0" w:start="0"/>
        <w:rPr/>
      </w:pPr>
      <w:r>
        <w:rPr>
          <w:u w:val="single"/>
        </w:rPr>
        <w:t>Seniority</w:t>
      </w:r>
      <w:r>
        <w:rPr/>
        <w:t xml:space="preserve"> (Section 12):</w:t>
      </w:r>
    </w:p>
    <w:p>
      <w:pPr>
        <w:pStyle w:val="Paragraphe1"/>
        <w:rPr/>
      </w:pPr>
      <w:r>
        <w:rPr/>
        <w:t>No cumulation of seniority by newly hired employees unless they became permanent on a regular position.</w:t>
      </w:r>
    </w:p>
    <w:p>
      <w:pPr>
        <w:pStyle w:val="Paragraphe1"/>
        <w:rPr/>
      </w:pPr>
      <w:r>
        <w:rPr/>
        <w:t>Hiring is subject to very specific rules.</w:t>
      </w:r>
    </w:p>
    <w:p>
      <w:pPr>
        <w:pStyle w:val="Paragraphe1"/>
        <w:rPr/>
      </w:pPr>
      <w:r>
        <w:rPr/>
        <w:t>Probationary period:  90 calendar days.  However, the employee having not completed 320 hours during said probationary period, must start a new probationary period.</w:t>
      </w:r>
    </w:p>
    <w:p>
      <w:pPr>
        <w:pStyle w:val="Heading3"/>
        <w:ind w:hanging="0" w:start="0"/>
        <w:rPr/>
      </w:pPr>
      <w:r>
        <w:rPr>
          <w:u w:val="single"/>
        </w:rPr>
        <w:t>Layoff, Promotion, Transfer, Demotion and Recall</w:t>
      </w:r>
    </w:p>
    <w:p>
      <w:pPr>
        <w:pStyle w:val="Paragraphe1"/>
        <w:rPr/>
      </w:pPr>
      <w:r>
        <w:rPr/>
        <w:t>Right of the Employer to reduce one or many of its working crews to meet the requirement of production.</w:t>
      </w:r>
    </w:p>
    <w:p>
      <w:pPr>
        <w:pStyle w:val="Paragraphe1"/>
        <w:rPr/>
      </w:pPr>
      <w:r>
        <w:rPr/>
        <w:t>Promotion from one echelon to another in the same line of progression is made according to competence and seniority.  The seniority of classification prevails if the competence of the employees is relatively equal.</w:t>
      </w:r>
    </w:p>
    <w:p>
      <w:pPr>
        <w:pStyle w:val="Paragraphe1"/>
        <w:rPr/>
      </w:pPr>
      <w:r>
        <w:rPr/>
        <w:t>In case of reduction of manpower, the employees are demoted from one echelon to another in the reverse order of the promotion.  Bumping rights are recognized for employees whose position has been abolished.  However, the mechanic provided can be modified when necessary to maintain efficiency in the operations.</w:t>
      </w:r>
    </w:p>
    <w:p>
      <w:pPr>
        <w:pStyle w:val="Paragraphe1"/>
        <w:rPr/>
      </w:pPr>
      <w:r>
        <w:rPr/>
        <w:t>Employees of Local 137 are recalled by reverse order of seniority.  Employees of Local 250 are recalled by order of their layoff.</w:t>
      </w:r>
    </w:p>
    <w:p>
      <w:pPr>
        <w:pStyle w:val="Heading3"/>
        <w:ind w:hanging="0" w:start="0"/>
        <w:rPr/>
      </w:pPr>
      <w:r>
        <w:rPr>
          <w:u w:val="single"/>
        </w:rPr>
        <w:t>Job Posting</w:t>
      </w:r>
      <w:r>
        <w:rPr/>
        <w:t xml:space="preserve"> (Section 13):</w:t>
      </w:r>
    </w:p>
    <w:p>
      <w:pPr>
        <w:pStyle w:val="Paragraphe1"/>
        <w:rPr/>
      </w:pPr>
      <w:r>
        <w:rPr/>
        <w:t>Selection of the postulant is make by seniority amongst the employees with the ability to progress in the line of progression.  Trial period of 168 hours worked.</w:t>
      </w:r>
    </w:p>
    <w:p>
      <w:pPr>
        <w:pStyle w:val="Paragraphe1"/>
        <w:rPr/>
      </w:pPr>
      <w:r>
        <w:rPr/>
        <w:t>Four types of seniority are defined:  plant seniority, departmental seniority, classification seniority and seniority for seasonal employees.</w:t>
      </w:r>
    </w:p>
    <w:p>
      <w:pPr>
        <w:pStyle w:val="Heading3"/>
        <w:ind w:hanging="0" w:start="0"/>
        <w:rPr/>
      </w:pPr>
      <w:r>
        <w:rPr>
          <w:u w:val="single"/>
        </w:rPr>
        <w:t>Automation and Reorganization</w:t>
      </w:r>
      <w:r>
        <w:rPr/>
        <w:t xml:space="preserve"> (Section 14):</w:t>
      </w:r>
    </w:p>
    <w:p>
      <w:pPr>
        <w:pStyle w:val="Paragraphe1"/>
        <w:rPr/>
      </w:pPr>
      <w:r>
        <w:rPr/>
        <w:t>A joint committee of three members representing the Employer and three members representing the Union deals with the impact of technological changes, automation and reorganization and to submit recommendations to the Plant General Manager.</w:t>
      </w:r>
    </w:p>
    <w:p>
      <w:pPr>
        <w:pStyle w:val="Paragraphe1"/>
        <w:rPr/>
      </w:pPr>
      <w:r>
        <w:rPr/>
        <w:t>Obligation for the Employer to notify the joint committee as soon as possible and no less then 60 days in advance of any technological changes or automation which may result in layoffs.</w:t>
      </w:r>
    </w:p>
    <w:p>
      <w:pPr>
        <w:pStyle w:val="Paragraphe1"/>
        <w:rPr/>
      </w:pPr>
      <w:r>
        <w:rPr/>
        <w:t>For employees permanently demoted following technological changes, automation or reorganization:  retention of their hourly rate of pay for a period of six months and intermediary hourly rate of pay for an additional period of six months.  At the end of the twelve month period, the employee is paid at the lower rate position.</w:t>
      </w:r>
    </w:p>
    <w:p>
      <w:pPr>
        <w:pStyle w:val="Paragraphe1"/>
        <w:rPr/>
      </w:pPr>
      <w:r>
        <w:rPr/>
        <w:t>For employees laid off because of technological changes, automation or reorganization:  three (3) months prior notice.</w:t>
      </w:r>
    </w:p>
    <w:p>
      <w:pPr>
        <w:pStyle w:val="Paragraphe1"/>
        <w:rPr/>
      </w:pPr>
      <w:r>
        <w:rPr/>
        <w:t>Before making any recommendations to the Plant General Manager, the joint committee shall take into consideration the following possibilities:  pre-retirement, professional training, transfer to other positions or other type of work and availability of governmental assistance.</w:t>
      </w:r>
    </w:p>
    <w:p>
      <w:pPr>
        <w:pStyle w:val="Heading3"/>
        <w:ind w:hanging="0" w:start="0"/>
        <w:rPr/>
      </w:pPr>
      <w:r>
        <w:rPr>
          <w:u w:val="single"/>
        </w:rPr>
        <w:t>Leave of Absence Without Pay for Union Activities and Pursuit of Education</w:t>
      </w:r>
      <w:r>
        <w:rPr/>
        <w:t xml:space="preserve"> (Section 29)</w:t>
      </w:r>
    </w:p>
    <w:p>
      <w:pPr>
        <w:pStyle w:val="Heading3"/>
        <w:ind w:hanging="0" w:start="0"/>
        <w:rPr/>
      </w:pPr>
      <w:r>
        <w:rPr>
          <w:u w:val="single"/>
        </w:rPr>
        <w:t>Grievance and Arbitration Procedure</w:t>
      </w:r>
      <w:r>
        <w:rPr/>
        <w:t xml:space="preserve"> (Section 36):</w:t>
      </w:r>
    </w:p>
    <w:p>
      <w:pPr>
        <w:pStyle w:val="Paragraphe1"/>
        <w:rPr/>
      </w:pPr>
      <w:r>
        <w:rPr/>
        <w:t>The grievance procedure is limited to disagreement respecting the interpretation or the application of the collective agreement.  Possibility to file individual and group grievance.  Right of the Employer to file grievances.  Involvement of the shop stewards and/or Union representative at the time of filing and in the further steps.</w:t>
      </w:r>
    </w:p>
    <w:p>
      <w:pPr>
        <w:pStyle w:val="Paragraphe1"/>
        <w:rPr/>
      </w:pPr>
      <w:r>
        <w:rPr/>
        <w:t>Arbitration:  Three member Board of arbitration from no fixed panel.  Arbitration is well confined as to process and discretion.</w:t>
      </w:r>
    </w:p>
    <w:p>
      <w:pPr>
        <w:pStyle w:val="Heading3"/>
        <w:ind w:hanging="0" w:start="0"/>
        <w:rPr/>
      </w:pPr>
      <w:r>
        <w:rPr>
          <w:u w:val="single"/>
        </w:rPr>
        <w:t>Employee’s File and Disciplinary Record</w:t>
      </w:r>
      <w:r>
        <w:rPr/>
        <w:t xml:space="preserve"> (Section 39):</w:t>
      </w:r>
    </w:p>
    <w:p>
      <w:pPr>
        <w:pStyle w:val="Paragraphe1"/>
        <w:rPr/>
      </w:pPr>
      <w:r>
        <w:rPr/>
        <w:t>Union is allowed to look at employee’s personal and disciplinary file.  Disciplinary record vanished after one year except in the cases of severe absenteeism and where the disciplinary action is cancelled after 18 months.</w:t>
      </w:r>
    </w:p>
    <w:p>
      <w:pPr>
        <w:pStyle w:val="Heading3"/>
        <w:ind w:hanging="0" w:start="0"/>
        <w:rPr/>
      </w:pPr>
      <w:r>
        <w:rPr>
          <w:u w:val="single"/>
        </w:rPr>
        <w:t>Safety and Work Accidents</w:t>
      </w:r>
      <w:r>
        <w:rPr/>
        <w:t xml:space="preserve"> (Section 40):</w:t>
      </w:r>
    </w:p>
    <w:p>
      <w:pPr>
        <w:pStyle w:val="Paragraphe1"/>
        <w:rPr/>
      </w:pPr>
      <w:r>
        <w:rPr/>
        <w:t>Joint Health and Safety Committee to assist the Employer on every aspect of health and safety of the employees.  Obligation of the Employer to advise the Union of any modification to safety rules and regulations.  Employees' right of refusal to work for the employees if the working conditions are dangerous.</w:t>
      </w:r>
    </w:p>
    <w:p>
      <w:pPr>
        <w:pStyle w:val="Heading3"/>
        <w:ind w:hanging="0" w:start="0"/>
        <w:rPr/>
      </w:pPr>
      <w:r>
        <w:rPr>
          <w:u w:val="single"/>
        </w:rPr>
        <w:t>Heat and Noise</w:t>
      </w:r>
      <w:r>
        <w:rPr/>
        <w:t xml:space="preserve"> (Section 41):</w:t>
      </w:r>
    </w:p>
    <w:p>
      <w:pPr>
        <w:pStyle w:val="Paragraphe1"/>
        <w:rPr/>
      </w:pPr>
      <w:r>
        <w:rPr/>
        <w:t>Obligation of the Employer to pursue improvement program to reduce excessive heating and improvement ventilation conditions.  Verification of noise level according to a specific procedure.</w:t>
      </w:r>
    </w:p>
    <w:p>
      <w:pPr>
        <w:pStyle w:val="Heading3"/>
        <w:ind w:hanging="0" w:start="0"/>
        <w:rPr/>
      </w:pPr>
      <w:r>
        <w:rPr>
          <w:u w:val="single"/>
        </w:rPr>
        <w:t>Plant Rules and Regulations</w:t>
      </w:r>
      <w:r>
        <w:rPr/>
        <w:t xml:space="preserve"> (Section 42):</w:t>
      </w:r>
    </w:p>
    <w:p>
      <w:pPr>
        <w:pStyle w:val="Paragraphe1"/>
        <w:rPr/>
      </w:pPr>
      <w:r>
        <w:rPr/>
        <w:t>Rules and regulations are part of the collective agreement.  Safety and disciplinary rules and regulations are discussed locally and cannot be part of the global agreement.</w:t>
      </w:r>
    </w:p>
    <w:p>
      <w:pPr>
        <w:pStyle w:val="Heading3"/>
        <w:ind w:hanging="0" w:start="0"/>
        <w:rPr/>
      </w:pPr>
      <w:r>
        <w:rPr>
          <w:u w:val="single"/>
        </w:rPr>
        <w:t>Job Security</w:t>
      </w:r>
      <w:r>
        <w:rPr/>
        <w:t xml:space="preserve"> (Section 52):</w:t>
      </w:r>
    </w:p>
    <w:p>
      <w:pPr>
        <w:pStyle w:val="Paragraphe1"/>
        <w:rPr/>
      </w:pPr>
      <w:r>
        <w:rPr/>
        <w:t>Job security for employees who held a regular position on January 1, 1999 except in the following cases:</w:t>
      </w:r>
    </w:p>
    <w:p>
      <w:pPr>
        <w:pStyle w:val="Paragraphe1"/>
        <w:numPr>
          <w:ilvl w:val="0"/>
          <w:numId w:val="7"/>
        </w:numPr>
        <w:tabs>
          <w:tab w:val="clear" w:pos="709"/>
          <w:tab w:val="left" w:pos="1440" w:leader="none"/>
        </w:tabs>
        <w:ind w:hanging="731" w:start="1440" w:end="0"/>
        <w:rPr/>
      </w:pPr>
      <w:r>
        <w:rPr/>
        <w:t>Technological changes;</w:t>
      </w:r>
    </w:p>
    <w:p>
      <w:pPr>
        <w:pStyle w:val="Paragraphe1"/>
        <w:numPr>
          <w:ilvl w:val="0"/>
          <w:numId w:val="7"/>
        </w:numPr>
        <w:tabs>
          <w:tab w:val="clear" w:pos="709"/>
          <w:tab w:val="left" w:pos="1440" w:leader="none"/>
        </w:tabs>
        <w:ind w:hanging="731" w:start="1440" w:end="0"/>
        <w:rPr/>
      </w:pPr>
      <w:r>
        <w:rPr/>
        <w:t>Total or partial closing of the plant or a department;</w:t>
      </w:r>
    </w:p>
    <w:p>
      <w:pPr>
        <w:pStyle w:val="Paragraphe1"/>
        <w:numPr>
          <w:ilvl w:val="0"/>
          <w:numId w:val="7"/>
        </w:numPr>
        <w:tabs>
          <w:tab w:val="clear" w:pos="709"/>
          <w:tab w:val="left" w:pos="1440" w:leader="none"/>
        </w:tabs>
        <w:ind w:hanging="731" w:start="1440" w:end="0"/>
        <w:rPr/>
      </w:pPr>
      <w:r>
        <w:rPr/>
        <w:t>Shutdown of operation because of lack of orders or market conditions;</w:t>
      </w:r>
    </w:p>
    <w:p>
      <w:pPr>
        <w:pStyle w:val="Paragraphe1"/>
        <w:numPr>
          <w:ilvl w:val="0"/>
          <w:numId w:val="7"/>
        </w:numPr>
        <w:tabs>
          <w:tab w:val="clear" w:pos="709"/>
          <w:tab w:val="left" w:pos="1440" w:leader="none"/>
        </w:tabs>
        <w:ind w:hanging="731" w:start="1440" w:end="0"/>
        <w:rPr/>
      </w:pPr>
      <w:r>
        <w:rPr/>
        <w:t>Fortuitous event or situation beyond the control of the Employer;</w:t>
      </w:r>
    </w:p>
    <w:p>
      <w:pPr>
        <w:pStyle w:val="Paragraphe1"/>
        <w:numPr>
          <w:ilvl w:val="0"/>
          <w:numId w:val="7"/>
        </w:numPr>
        <w:tabs>
          <w:tab w:val="clear" w:pos="709"/>
          <w:tab w:val="left" w:pos="1440" w:leader="none"/>
        </w:tabs>
        <w:ind w:hanging="731" w:start="1440" w:end="0"/>
        <w:rPr/>
      </w:pPr>
      <w:r>
        <w:rPr/>
        <w:t>Disciplinary or administrative dismissal;</w:t>
      </w:r>
    </w:p>
    <w:p>
      <w:pPr>
        <w:pStyle w:val="Paragraphe1"/>
        <w:numPr>
          <w:ilvl w:val="0"/>
          <w:numId w:val="7"/>
        </w:numPr>
        <w:tabs>
          <w:tab w:val="clear" w:pos="709"/>
          <w:tab w:val="left" w:pos="1440" w:leader="none"/>
        </w:tabs>
        <w:ind w:hanging="731" w:start="1440" w:end="0"/>
        <w:rPr/>
      </w:pPr>
      <w:r>
        <w:rPr/>
        <w:t>Attrition.</w:t>
      </w:r>
    </w:p>
    <w:p>
      <w:pPr>
        <w:pStyle w:val="Paragraphe1"/>
        <w:rPr/>
      </w:pPr>
      <w:r>
        <w:rPr/>
        <w:t>Job security does not mean a guarantee of minimum of hours per week.</w:t>
      </w:r>
    </w:p>
    <w:p>
      <w:pPr>
        <w:pStyle w:val="Heading3"/>
        <w:keepNext w:val="true"/>
        <w:ind w:hanging="0" w:start="0"/>
        <w:rPr/>
      </w:pPr>
      <w:r>
        <w:rPr>
          <w:u w:val="single"/>
        </w:rPr>
        <w:t>Memorandum of Agreement Renewed</w:t>
      </w:r>
      <w:r>
        <w:rPr/>
        <w:t xml:space="preserve"> (Appendix “D”):</w:t>
      </w:r>
    </w:p>
    <w:p>
      <w:pPr>
        <w:pStyle w:val="Paragraphe1"/>
        <w:rPr/>
      </w:pPr>
      <w:r>
        <w:rPr/>
        <w:t>24 memorandums of agreement were renewed at the time of signing of the new collective agreement.  These memorandums of agreement deal with a variety of topics.</w:t>
      </w:r>
    </w:p>
    <w:p>
      <w:pPr>
        <w:pStyle w:val="Paragraphe1"/>
        <w:rPr/>
      </w:pPr>
      <w:r>
        <w:rPr/>
        <w:t>No copies of these memorandums of agreement were available in the Data Room.</w:t>
      </w:r>
    </w:p>
    <w:p>
      <w:pPr>
        <w:pStyle w:val="Heading3"/>
        <w:ind w:hanging="0" w:start="0"/>
        <w:rPr/>
      </w:pPr>
      <w:r>
        <w:rPr>
          <w:u w:val="single"/>
        </w:rPr>
        <w:t>ABC Program</w:t>
      </w:r>
      <w:r>
        <w:rPr/>
        <w:t>:</w:t>
      </w:r>
    </w:p>
    <w:p>
      <w:pPr>
        <w:pStyle w:val="Paragraphe1"/>
        <w:rPr/>
      </w:pPr>
      <w:r>
        <w:rPr/>
        <w:t>The ABC Program is part of the collective agreement.  The ABC Program was not available in the Data Room.</w:t>
      </w:r>
    </w:p>
    <w:p>
      <w:pPr>
        <w:pStyle w:val="Heading3"/>
        <w:ind w:hanging="0" w:start="0"/>
        <w:rPr/>
      </w:pPr>
      <w:r>
        <w:rPr>
          <w:u w:val="single"/>
        </w:rPr>
        <w:t>Continued Operations During a Paid Holiday</w:t>
      </w:r>
      <w:r>
        <w:rPr/>
        <w:t xml:space="preserve"> (Appendix “G”)</w:t>
      </w:r>
    </w:p>
    <w:p>
      <w:pPr>
        <w:pStyle w:val="Heading3"/>
        <w:ind w:hanging="0" w:start="0"/>
        <w:rPr/>
      </w:pPr>
      <w:r>
        <w:rPr>
          <w:u w:val="single"/>
        </w:rPr>
        <w:t>12-Hour Shift</w:t>
      </w:r>
      <w:r>
        <w:rPr/>
        <w:t xml:space="preserve"> (Appendix “H”): Numerous rules applying to the 12-hour shift.</w:t>
      </w:r>
    </w:p>
    <w:p>
      <w:pPr>
        <w:pStyle w:val="Heading3"/>
        <w:ind w:hanging="0" w:start="0"/>
        <w:rPr/>
      </w:pPr>
      <w:r>
        <w:rPr>
          <w:u w:val="single"/>
        </w:rPr>
        <w:t>Memorandum of Agreement Between Daishowa Inc. and Locals 137 and 250 Concerning Various Issues Such as:</w:t>
      </w:r>
    </w:p>
    <w:p>
      <w:pPr>
        <w:pStyle w:val="Paragraphe1"/>
        <w:numPr>
          <w:ilvl w:val="0"/>
          <w:numId w:val="2"/>
        </w:numPr>
        <w:tabs>
          <w:tab w:val="clear" w:pos="709"/>
          <w:tab w:val="left" w:pos="1440" w:leader="none"/>
        </w:tabs>
        <w:ind w:hanging="731" w:start="1440" w:end="0"/>
        <w:rPr/>
      </w:pPr>
      <w:r>
        <w:rPr/>
        <w:t>Plant week;</w:t>
      </w:r>
    </w:p>
    <w:p>
      <w:pPr>
        <w:pStyle w:val="Paragraphe1"/>
        <w:numPr>
          <w:ilvl w:val="0"/>
          <w:numId w:val="2"/>
        </w:numPr>
        <w:tabs>
          <w:tab w:val="clear" w:pos="709"/>
          <w:tab w:val="left" w:pos="1440" w:leader="none"/>
        </w:tabs>
        <w:ind w:hanging="731" w:start="1440" w:end="0"/>
        <w:rPr/>
      </w:pPr>
      <w:r>
        <w:rPr/>
        <w:t>Plant day;</w:t>
      </w:r>
    </w:p>
    <w:p>
      <w:pPr>
        <w:pStyle w:val="Paragraphe1"/>
        <w:numPr>
          <w:ilvl w:val="0"/>
          <w:numId w:val="2"/>
        </w:numPr>
        <w:tabs>
          <w:tab w:val="clear" w:pos="709"/>
          <w:tab w:val="left" w:pos="1440" w:leader="none"/>
        </w:tabs>
        <w:ind w:hanging="731" w:start="1440" w:end="0"/>
        <w:rPr/>
      </w:pPr>
      <w:r>
        <w:rPr/>
        <w:t>Sunday;</w:t>
      </w:r>
    </w:p>
    <w:p>
      <w:pPr>
        <w:pStyle w:val="Paragraphe1"/>
        <w:numPr>
          <w:ilvl w:val="0"/>
          <w:numId w:val="2"/>
        </w:numPr>
        <w:tabs>
          <w:tab w:val="clear" w:pos="709"/>
          <w:tab w:val="left" w:pos="1440" w:leader="none"/>
        </w:tabs>
        <w:ind w:hanging="731" w:start="1440" w:end="0"/>
        <w:rPr/>
      </w:pPr>
      <w:r>
        <w:rPr/>
        <w:t>Vacation week;</w:t>
      </w:r>
    </w:p>
    <w:p>
      <w:pPr>
        <w:pStyle w:val="Paragraphe1"/>
        <w:numPr>
          <w:ilvl w:val="0"/>
          <w:numId w:val="2"/>
        </w:numPr>
        <w:tabs>
          <w:tab w:val="clear" w:pos="709"/>
          <w:tab w:val="left" w:pos="1440" w:leader="none"/>
        </w:tabs>
        <w:ind w:hanging="731" w:start="1440" w:end="0"/>
        <w:rPr/>
      </w:pPr>
      <w:r>
        <w:rPr/>
        <w:t>Hours of work;</w:t>
      </w:r>
    </w:p>
    <w:p>
      <w:pPr>
        <w:pStyle w:val="Paragraphe1"/>
        <w:numPr>
          <w:ilvl w:val="0"/>
          <w:numId w:val="2"/>
        </w:numPr>
        <w:tabs>
          <w:tab w:val="clear" w:pos="709"/>
          <w:tab w:val="left" w:pos="1440" w:leader="none"/>
        </w:tabs>
        <w:ind w:hanging="731" w:start="1440" w:end="0"/>
        <w:rPr/>
      </w:pPr>
      <w:r>
        <w:rPr/>
        <w:t>Hours of work for employees working on shift;</w:t>
      </w:r>
    </w:p>
    <w:p>
      <w:pPr>
        <w:pStyle w:val="Paragraphe1"/>
        <w:numPr>
          <w:ilvl w:val="0"/>
          <w:numId w:val="2"/>
        </w:numPr>
        <w:tabs>
          <w:tab w:val="clear" w:pos="709"/>
          <w:tab w:val="left" w:pos="1440" w:leader="none"/>
        </w:tabs>
        <w:ind w:hanging="731" w:start="1440" w:end="0"/>
        <w:rPr/>
      </w:pPr>
      <w:r>
        <w:rPr/>
        <w:t>Beginning and interruption of work of the employees working on 12-hour shift;</w:t>
      </w:r>
    </w:p>
    <w:p>
      <w:pPr>
        <w:pStyle w:val="Paragraphe1"/>
        <w:numPr>
          <w:ilvl w:val="0"/>
          <w:numId w:val="2"/>
        </w:numPr>
        <w:tabs>
          <w:tab w:val="clear" w:pos="709"/>
          <w:tab w:val="left" w:pos="1440" w:leader="none"/>
        </w:tabs>
        <w:ind w:hanging="731" w:start="1440" w:end="0"/>
        <w:rPr/>
      </w:pPr>
      <w:r>
        <w:rPr/>
        <w:t>Overtime for the employees working on 12-hours shift;</w:t>
      </w:r>
    </w:p>
    <w:p>
      <w:pPr>
        <w:pStyle w:val="Paragraphe1"/>
        <w:numPr>
          <w:ilvl w:val="0"/>
          <w:numId w:val="2"/>
        </w:numPr>
        <w:tabs>
          <w:tab w:val="clear" w:pos="709"/>
          <w:tab w:val="left" w:pos="1440" w:leader="none"/>
        </w:tabs>
        <w:ind w:hanging="731" w:start="1440" w:end="0"/>
        <w:rPr/>
      </w:pPr>
      <w:r>
        <w:rPr/>
        <w:t>Night shift premium for employees working on 12-hours shift;</w:t>
      </w:r>
    </w:p>
    <w:p>
      <w:pPr>
        <w:pStyle w:val="Paragraphe1"/>
        <w:numPr>
          <w:ilvl w:val="0"/>
          <w:numId w:val="2"/>
        </w:numPr>
        <w:tabs>
          <w:tab w:val="clear" w:pos="709"/>
          <w:tab w:val="left" w:pos="1440" w:leader="none"/>
        </w:tabs>
        <w:ind w:hanging="731" w:start="1440" w:end="0"/>
        <w:rPr/>
      </w:pPr>
      <w:r>
        <w:rPr/>
        <w:t>Paid holidays and floaters;</w:t>
      </w:r>
    </w:p>
    <w:p>
      <w:pPr>
        <w:pStyle w:val="Paragraphe1"/>
        <w:numPr>
          <w:ilvl w:val="0"/>
          <w:numId w:val="2"/>
        </w:numPr>
        <w:tabs>
          <w:tab w:val="clear" w:pos="709"/>
          <w:tab w:val="left" w:pos="1440" w:leader="none"/>
        </w:tabs>
        <w:ind w:hanging="731" w:start="1440" w:end="0"/>
        <w:rPr/>
      </w:pPr>
      <w:r>
        <w:rPr/>
        <w:t>Sick leave;</w:t>
      </w:r>
    </w:p>
    <w:p>
      <w:pPr>
        <w:pStyle w:val="Paragraphe1"/>
        <w:numPr>
          <w:ilvl w:val="0"/>
          <w:numId w:val="2"/>
        </w:numPr>
        <w:tabs>
          <w:tab w:val="clear" w:pos="709"/>
          <w:tab w:val="left" w:pos="1440" w:leader="none"/>
        </w:tabs>
        <w:ind w:hanging="731" w:start="1440" w:end="0"/>
        <w:rPr/>
      </w:pPr>
      <w:r>
        <w:rPr/>
        <w:t>Jury duty;</w:t>
      </w:r>
    </w:p>
    <w:p>
      <w:pPr>
        <w:pStyle w:val="Paragraphe1"/>
        <w:numPr>
          <w:ilvl w:val="0"/>
          <w:numId w:val="2"/>
        </w:numPr>
        <w:tabs>
          <w:tab w:val="clear" w:pos="709"/>
          <w:tab w:val="left" w:pos="1440" w:leader="none"/>
        </w:tabs>
        <w:ind w:hanging="731" w:start="1440" w:end="0"/>
        <w:rPr/>
      </w:pPr>
      <w:r>
        <w:rPr/>
        <w:t>Regulation concerning replacement;</w:t>
      </w:r>
    </w:p>
    <w:p>
      <w:pPr>
        <w:pStyle w:val="Paragraphe1"/>
        <w:numPr>
          <w:ilvl w:val="0"/>
          <w:numId w:val="2"/>
        </w:numPr>
        <w:tabs>
          <w:tab w:val="clear" w:pos="709"/>
          <w:tab w:val="left" w:pos="1440" w:leader="none"/>
        </w:tabs>
        <w:ind w:hanging="731" w:start="1440" w:end="0"/>
        <w:rPr/>
      </w:pPr>
      <w:r>
        <w:rPr/>
        <w:t>Hours of work for day shift employees;</w:t>
      </w:r>
    </w:p>
    <w:p>
      <w:pPr>
        <w:pStyle w:val="Paragraphe1"/>
        <w:numPr>
          <w:ilvl w:val="0"/>
          <w:numId w:val="2"/>
        </w:numPr>
        <w:tabs>
          <w:tab w:val="clear" w:pos="709"/>
          <w:tab w:val="left" w:pos="1440" w:leader="none"/>
        </w:tabs>
        <w:ind w:hanging="731" w:start="1440" w:end="0"/>
        <w:rPr/>
      </w:pPr>
      <w:r>
        <w:rPr/>
        <w:t>Reduction of the work schedule;</w:t>
      </w:r>
    </w:p>
    <w:p>
      <w:pPr>
        <w:pStyle w:val="Paragraphe1"/>
        <w:numPr>
          <w:ilvl w:val="0"/>
          <w:numId w:val="2"/>
        </w:numPr>
        <w:tabs>
          <w:tab w:val="clear" w:pos="709"/>
          <w:tab w:val="left" w:pos="1440" w:leader="none"/>
        </w:tabs>
        <w:ind w:hanging="731" w:start="1440" w:end="0"/>
        <w:rPr/>
      </w:pPr>
      <w:r>
        <w:rPr/>
        <w:t>Pension Plan.</w:t>
      </w:r>
    </w:p>
    <w:p>
      <w:pPr>
        <w:pStyle w:val="Heading1"/>
        <w:numPr>
          <w:ilvl w:val="0"/>
          <w:numId w:val="11"/>
        </w:numPr>
        <w:rPr/>
      </w:pPr>
      <w:r>
        <w:rPr/>
        <w:t>SUMMARY OF THE MONETARY PROVISIONS</w:t>
      </w:r>
    </w:p>
    <w:p>
      <w:pPr>
        <w:pStyle w:val="Heading3"/>
        <w:numPr>
          <w:ilvl w:val="2"/>
          <w:numId w:val="25"/>
        </w:numPr>
        <w:ind w:hanging="0" w:start="0"/>
        <w:rPr/>
      </w:pPr>
      <w:r>
        <w:rPr>
          <w:u w:val="single"/>
        </w:rPr>
        <w:t>Severance Allowance</w:t>
      </w:r>
      <w:r>
        <w:rPr/>
        <w:t xml:space="preserve"> (Section 15)</w:t>
      </w:r>
    </w:p>
    <w:p>
      <w:pPr>
        <w:pStyle w:val="Paragraphe1"/>
        <w:rPr/>
      </w:pPr>
      <w:r>
        <w:rPr/>
        <w:t>Same as the CEP Local 200 Collective Agreement.</w:t>
      </w:r>
    </w:p>
    <w:p>
      <w:pPr>
        <w:pStyle w:val="Heading3"/>
        <w:ind w:hanging="0" w:start="0"/>
        <w:rPr/>
      </w:pPr>
      <w:r>
        <w:rPr>
          <w:u w:val="single"/>
        </w:rPr>
        <w:t>Overtime</w:t>
      </w:r>
      <w:r>
        <w:rPr/>
        <w:t xml:space="preserve"> (Section 16)</w:t>
      </w:r>
    </w:p>
    <w:p>
      <w:pPr>
        <w:pStyle w:val="Paragraphe1"/>
        <w:rPr/>
      </w:pPr>
      <w:r>
        <w:rPr/>
        <w:t>Time and a half (1 ½) or double time is paid when an employee is required to do any type of work before or after his regular shift.</w:t>
      </w:r>
    </w:p>
    <w:p>
      <w:pPr>
        <w:pStyle w:val="Heading3"/>
        <w:ind w:hanging="0" w:start="0"/>
        <w:rPr/>
      </w:pPr>
      <w:r>
        <w:rPr>
          <w:u w:val="single"/>
        </w:rPr>
        <w:t>Night premiums</w:t>
      </w:r>
      <w:r>
        <w:rPr/>
        <w:t xml:space="preserve"> (Section 19)</w:t>
      </w:r>
    </w:p>
    <w:p>
      <w:pPr>
        <w:pStyle w:val="Paragraphe1"/>
        <w:spacing w:before="0" w:after="120"/>
        <w:ind w:start="706" w:end="0"/>
        <w:rPr/>
      </w:pPr>
      <w:r>
        <w:rPr/>
        <w:t>$0.40/hour for work performed between 16h00 and 24h00 and</w:t>
      </w:r>
    </w:p>
    <w:p>
      <w:pPr>
        <w:pStyle w:val="Paragraphe1"/>
        <w:rPr/>
      </w:pPr>
      <w:r>
        <w:rPr/>
        <w:t>$0.60/hour for work performed between 24h00 and 08h00.</w:t>
      </w:r>
    </w:p>
    <w:p>
      <w:pPr>
        <w:pStyle w:val="Heading3"/>
        <w:ind w:hanging="0" w:start="0"/>
        <w:rPr/>
      </w:pPr>
      <w:r>
        <w:rPr>
          <w:u w:val="single"/>
        </w:rPr>
        <w:t>Annual Vacations</w:t>
      </w:r>
      <w:r>
        <w:rPr/>
        <w:t xml:space="preserve"> (Section 23)</w:t>
      </w:r>
    </w:p>
    <w:tbl>
      <w:tblPr>
        <w:tblW w:w="5774" w:type="dxa"/>
        <w:jc w:val="start"/>
        <w:tblInd w:w="880" w:type="dxa"/>
        <w:tblLayout w:type="fixed"/>
        <w:tblCellMar>
          <w:top w:w="0" w:type="dxa"/>
          <w:start w:w="70" w:type="dxa"/>
          <w:bottom w:w="0" w:type="dxa"/>
          <w:end w:w="70" w:type="dxa"/>
        </w:tblCellMar>
      </w:tblPr>
      <w:tblGrid>
        <w:gridCol w:w="3406"/>
        <w:gridCol w:w="2368"/>
      </w:tblGrid>
      <w:tr>
        <w:trPr/>
        <w:tc>
          <w:tcPr>
            <w:tcW w:w="3406" w:type="dxa"/>
            <w:tcBorders>
              <w:top w:val="single" w:sz="4" w:space="0" w:color="000000"/>
              <w:start w:val="single" w:sz="4" w:space="0" w:color="000000"/>
              <w:bottom w:val="single" w:sz="4" w:space="0" w:color="000000"/>
              <w:end w:val="single" w:sz="4" w:space="0" w:color="000000"/>
            </w:tcBorders>
          </w:tcPr>
          <w:p>
            <w:pPr>
              <w:pStyle w:val="Heading3"/>
              <w:keepNext w:val="true"/>
              <w:numPr>
                <w:ilvl w:val="0"/>
                <w:numId w:val="0"/>
              </w:numPr>
              <w:spacing w:before="120" w:after="240"/>
              <w:ind w:hanging="650" w:start="650" w:end="0"/>
              <w:jc w:val="center"/>
              <w:rPr>
                <w:b/>
              </w:rPr>
            </w:pPr>
            <w:r>
              <w:rPr>
                <w:b/>
              </w:rPr>
              <w:t>Seniority</w:t>
            </w:r>
          </w:p>
        </w:tc>
        <w:tc>
          <w:tcPr>
            <w:tcW w:w="2368"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b/>
              </w:rPr>
            </w:pPr>
            <w:r>
              <w:rPr>
                <w:b/>
              </w:rPr>
              <w:t>Duration</w:t>
            </w:r>
          </w:p>
        </w:tc>
      </w:tr>
      <w:tr>
        <w:trPr/>
        <w:tc>
          <w:tcPr>
            <w:tcW w:w="3406"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after one year</w:t>
            </w:r>
          </w:p>
        </w:tc>
        <w:tc>
          <w:tcPr>
            <w:tcW w:w="2368"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2 weeks</w:t>
            </w:r>
          </w:p>
        </w:tc>
      </w:tr>
      <w:tr>
        <w:trPr/>
        <w:tc>
          <w:tcPr>
            <w:tcW w:w="3406"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after 4 years</w:t>
            </w:r>
          </w:p>
        </w:tc>
        <w:tc>
          <w:tcPr>
            <w:tcW w:w="2368"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3 weeks</w:t>
            </w:r>
          </w:p>
        </w:tc>
      </w:tr>
      <w:tr>
        <w:trPr/>
        <w:tc>
          <w:tcPr>
            <w:tcW w:w="3406"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after 9 years</w:t>
            </w:r>
          </w:p>
        </w:tc>
        <w:tc>
          <w:tcPr>
            <w:tcW w:w="2368"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4 weeks</w:t>
            </w:r>
          </w:p>
        </w:tc>
      </w:tr>
      <w:tr>
        <w:trPr/>
        <w:tc>
          <w:tcPr>
            <w:tcW w:w="3406"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after 18 years</w:t>
            </w:r>
          </w:p>
        </w:tc>
        <w:tc>
          <w:tcPr>
            <w:tcW w:w="2368"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5 weeks</w:t>
            </w:r>
          </w:p>
        </w:tc>
      </w:tr>
      <w:tr>
        <w:trPr/>
        <w:tc>
          <w:tcPr>
            <w:tcW w:w="3406"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after 23 years</w:t>
            </w:r>
          </w:p>
        </w:tc>
        <w:tc>
          <w:tcPr>
            <w:tcW w:w="2368"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6 weeks</w:t>
            </w:r>
          </w:p>
        </w:tc>
      </w:tr>
    </w:tbl>
    <w:p>
      <w:pPr>
        <w:pStyle w:val="Heading3"/>
        <w:numPr>
          <w:ilvl w:val="0"/>
          <w:numId w:val="0"/>
        </w:numPr>
        <w:ind w:hanging="0" w:start="720" w:end="0"/>
        <w:jc w:val="center"/>
        <w:rPr/>
      </w:pPr>
      <w:r>
        <w:rPr/>
      </w:r>
    </w:p>
    <w:p>
      <w:pPr>
        <w:pStyle w:val="Paragraphe1"/>
        <w:rPr/>
      </w:pPr>
      <w:r>
        <w:rPr/>
        <w:t>Employees receive at least 2.4 % of gross earnings for each week of vacation.</w:t>
      </w:r>
    </w:p>
    <w:p>
      <w:pPr>
        <w:pStyle w:val="Heading3"/>
        <w:numPr>
          <w:ilvl w:val="0"/>
          <w:numId w:val="0"/>
        </w:numPr>
        <w:ind w:hanging="0" w:start="720" w:end="0"/>
        <w:rPr/>
      </w:pPr>
      <w:r>
        <w:rPr/>
        <w:t xml:space="preserve">Additional vacation:  After twenty-five (25) years of service, when the employee reaches the age of </w:t>
      </w:r>
    </w:p>
    <w:tbl>
      <w:tblPr>
        <w:tblW w:w="6030" w:type="dxa"/>
        <w:jc w:val="start"/>
        <w:tblInd w:w="880" w:type="dxa"/>
        <w:tblLayout w:type="fixed"/>
        <w:tblCellMar>
          <w:top w:w="0" w:type="dxa"/>
          <w:start w:w="70" w:type="dxa"/>
          <w:bottom w:w="0" w:type="dxa"/>
          <w:end w:w="70" w:type="dxa"/>
        </w:tblCellMar>
      </w:tblPr>
      <w:tblGrid>
        <w:gridCol w:w="3406"/>
        <w:gridCol w:w="2624"/>
      </w:tblGrid>
      <w:tr>
        <w:trPr/>
        <w:tc>
          <w:tcPr>
            <w:tcW w:w="3406" w:type="dxa"/>
            <w:tcBorders>
              <w:top w:val="single" w:sz="4" w:space="0" w:color="000000"/>
              <w:start w:val="single" w:sz="4" w:space="0" w:color="000000"/>
              <w:bottom w:val="single" w:sz="4" w:space="0" w:color="000000"/>
              <w:end w:val="single" w:sz="4" w:space="0" w:color="000000"/>
            </w:tcBorders>
          </w:tcPr>
          <w:p>
            <w:pPr>
              <w:pStyle w:val="Heading3"/>
              <w:keepNext w:val="true"/>
              <w:numPr>
                <w:ilvl w:val="0"/>
                <w:numId w:val="0"/>
              </w:numPr>
              <w:spacing w:before="120" w:after="240"/>
              <w:ind w:hanging="650" w:start="650" w:end="0"/>
              <w:jc w:val="center"/>
              <w:rPr>
                <w:b/>
              </w:rPr>
            </w:pPr>
            <w:r>
              <w:rPr>
                <w:b/>
              </w:rPr>
              <w:t>Age</w:t>
            </w:r>
          </w:p>
        </w:tc>
        <w:tc>
          <w:tcPr>
            <w:tcW w:w="2624"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b/>
              </w:rPr>
            </w:pPr>
            <w:r>
              <w:rPr>
                <w:b/>
              </w:rPr>
              <w:t>Duration</w:t>
            </w:r>
          </w:p>
        </w:tc>
      </w:tr>
      <w:tr>
        <w:trPr/>
        <w:tc>
          <w:tcPr>
            <w:tcW w:w="3406"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 xml:space="preserve">60 </w:t>
            </w:r>
          </w:p>
        </w:tc>
        <w:tc>
          <w:tcPr>
            <w:tcW w:w="2624"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1 week</w:t>
            </w:r>
          </w:p>
        </w:tc>
      </w:tr>
      <w:tr>
        <w:trPr/>
        <w:tc>
          <w:tcPr>
            <w:tcW w:w="3406"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61</w:t>
            </w:r>
          </w:p>
        </w:tc>
        <w:tc>
          <w:tcPr>
            <w:tcW w:w="2624"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2 weeks</w:t>
            </w:r>
          </w:p>
        </w:tc>
      </w:tr>
      <w:tr>
        <w:trPr/>
        <w:tc>
          <w:tcPr>
            <w:tcW w:w="3406"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 xml:space="preserve">62 </w:t>
            </w:r>
          </w:p>
        </w:tc>
        <w:tc>
          <w:tcPr>
            <w:tcW w:w="2624"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3 weeks</w:t>
            </w:r>
          </w:p>
        </w:tc>
      </w:tr>
      <w:tr>
        <w:trPr/>
        <w:tc>
          <w:tcPr>
            <w:tcW w:w="3406"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 xml:space="preserve">63 </w:t>
            </w:r>
          </w:p>
        </w:tc>
        <w:tc>
          <w:tcPr>
            <w:tcW w:w="2624"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4 weeks</w:t>
            </w:r>
          </w:p>
        </w:tc>
      </w:tr>
      <w:tr>
        <w:trPr/>
        <w:tc>
          <w:tcPr>
            <w:tcW w:w="3406"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64</w:t>
            </w:r>
          </w:p>
        </w:tc>
        <w:tc>
          <w:tcPr>
            <w:tcW w:w="2624"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5 weeks</w:t>
            </w:r>
          </w:p>
        </w:tc>
      </w:tr>
    </w:tbl>
    <w:p>
      <w:pPr>
        <w:pStyle w:val="Paragraphe1"/>
        <w:rPr/>
      </w:pPr>
      <w:r>
        <w:rPr/>
      </w:r>
    </w:p>
    <w:p>
      <w:pPr>
        <w:pStyle w:val="Paragraphe1"/>
        <w:rPr/>
      </w:pPr>
      <w:r>
        <w:rPr/>
        <w:t xml:space="preserve">Seasonal Employees </w:t>
      </w:r>
    </w:p>
    <w:tbl>
      <w:tblPr>
        <w:tblW w:w="6030" w:type="dxa"/>
        <w:jc w:val="start"/>
        <w:tblInd w:w="880" w:type="dxa"/>
        <w:tblLayout w:type="fixed"/>
        <w:tblCellMar>
          <w:top w:w="0" w:type="dxa"/>
          <w:start w:w="70" w:type="dxa"/>
          <w:bottom w:w="0" w:type="dxa"/>
          <w:end w:w="70" w:type="dxa"/>
        </w:tblCellMar>
      </w:tblPr>
      <w:tblGrid>
        <w:gridCol w:w="3406"/>
        <w:gridCol w:w="2624"/>
      </w:tblGrid>
      <w:tr>
        <w:trPr/>
        <w:tc>
          <w:tcPr>
            <w:tcW w:w="3406" w:type="dxa"/>
            <w:tcBorders>
              <w:top w:val="single" w:sz="4" w:space="0" w:color="000000"/>
              <w:start w:val="single" w:sz="4" w:space="0" w:color="000000"/>
              <w:bottom w:val="single" w:sz="4" w:space="0" w:color="000000"/>
              <w:end w:val="single" w:sz="4" w:space="0" w:color="000000"/>
            </w:tcBorders>
          </w:tcPr>
          <w:p>
            <w:pPr>
              <w:pStyle w:val="Heading3"/>
              <w:keepNext w:val="true"/>
              <w:numPr>
                <w:ilvl w:val="0"/>
                <w:numId w:val="0"/>
              </w:numPr>
              <w:spacing w:before="120" w:after="240"/>
              <w:ind w:hanging="650" w:start="650" w:end="0"/>
              <w:jc w:val="center"/>
              <w:rPr>
                <w:b/>
              </w:rPr>
            </w:pPr>
            <w:r>
              <w:rPr>
                <w:b/>
              </w:rPr>
              <w:t>Seniority</w:t>
            </w:r>
          </w:p>
        </w:tc>
        <w:tc>
          <w:tcPr>
            <w:tcW w:w="2624"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b/>
              </w:rPr>
            </w:pPr>
            <w:r>
              <w:rPr>
                <w:b/>
              </w:rPr>
              <w:t>% of Pay</w:t>
            </w:r>
          </w:p>
        </w:tc>
      </w:tr>
      <w:tr>
        <w:trPr/>
        <w:tc>
          <w:tcPr>
            <w:tcW w:w="3406"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less than 48 months</w:t>
            </w:r>
          </w:p>
        </w:tc>
        <w:tc>
          <w:tcPr>
            <w:tcW w:w="2624"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4%</w:t>
            </w:r>
          </w:p>
        </w:tc>
      </w:tr>
      <w:tr>
        <w:trPr/>
        <w:tc>
          <w:tcPr>
            <w:tcW w:w="3406"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after 48 months</w:t>
            </w:r>
          </w:p>
        </w:tc>
        <w:tc>
          <w:tcPr>
            <w:tcW w:w="2624"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6%</w:t>
            </w:r>
          </w:p>
        </w:tc>
      </w:tr>
      <w:tr>
        <w:trPr/>
        <w:tc>
          <w:tcPr>
            <w:tcW w:w="3406"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after 108 months</w:t>
            </w:r>
          </w:p>
        </w:tc>
        <w:tc>
          <w:tcPr>
            <w:tcW w:w="2624"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8 %</w:t>
            </w:r>
          </w:p>
        </w:tc>
      </w:tr>
      <w:tr>
        <w:trPr/>
        <w:tc>
          <w:tcPr>
            <w:tcW w:w="3406"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after 240 months</w:t>
            </w:r>
          </w:p>
        </w:tc>
        <w:tc>
          <w:tcPr>
            <w:tcW w:w="2624"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10 %</w:t>
            </w:r>
          </w:p>
        </w:tc>
      </w:tr>
      <w:tr>
        <w:trPr/>
        <w:tc>
          <w:tcPr>
            <w:tcW w:w="3406"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after 300 months</w:t>
            </w:r>
          </w:p>
        </w:tc>
        <w:tc>
          <w:tcPr>
            <w:tcW w:w="2624"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spacing w:before="120" w:after="240"/>
              <w:ind w:hanging="0" w:start="0"/>
              <w:jc w:val="center"/>
              <w:rPr/>
            </w:pPr>
            <w:r>
              <w:rPr/>
              <w:t>12 %</w:t>
            </w:r>
          </w:p>
        </w:tc>
      </w:tr>
    </w:tbl>
    <w:p>
      <w:pPr>
        <w:pStyle w:val="Heading3"/>
        <w:numPr>
          <w:ilvl w:val="0"/>
          <w:numId w:val="0"/>
        </w:numPr>
        <w:ind w:hanging="0" w:start="720" w:end="0"/>
        <w:jc w:val="center"/>
        <w:rPr/>
      </w:pPr>
      <w:r>
        <w:rPr/>
      </w:r>
    </w:p>
    <w:p>
      <w:pPr>
        <w:pStyle w:val="Heading3"/>
        <w:ind w:hanging="0" w:start="0"/>
        <w:rPr/>
      </w:pPr>
      <w:r>
        <w:rPr>
          <w:u w:val="single"/>
        </w:rPr>
        <w:t>Paid Holidays</w:t>
      </w:r>
      <w:r>
        <w:rPr/>
        <w:t xml:space="preserve"> (Section 25) :6 fixed and 4 floaters.</w:t>
      </w:r>
    </w:p>
    <w:p>
      <w:pPr>
        <w:pStyle w:val="Paragraphe1"/>
        <w:rPr/>
      </w:pPr>
      <w:r>
        <w:rPr/>
        <w:t>Various arrangements provided to trade hours during the Christmas Season with floaters.</w:t>
      </w:r>
    </w:p>
    <w:p>
      <w:pPr>
        <w:pStyle w:val="Heading3"/>
        <w:ind w:hanging="0" w:start="0"/>
        <w:rPr/>
      </w:pPr>
      <w:r>
        <w:rPr>
          <w:u w:val="single"/>
        </w:rPr>
        <w:t>Bureavement Leaves</w:t>
      </w:r>
      <w:r>
        <w:rPr/>
        <w:t xml:space="preserve"> (Section 27): 1, 3 or 5 days.</w:t>
      </w:r>
    </w:p>
    <w:p>
      <w:pPr>
        <w:pStyle w:val="Heading3"/>
        <w:ind w:hanging="0" w:start="0"/>
        <w:rPr/>
      </w:pPr>
      <w:r>
        <w:rPr>
          <w:u w:val="single"/>
        </w:rPr>
        <w:t>Jury Duty Provisions</w:t>
      </w:r>
    </w:p>
    <w:p>
      <w:pPr>
        <w:pStyle w:val="Heading3"/>
        <w:keepNext w:val="true"/>
        <w:ind w:hanging="0" w:start="0"/>
        <w:rPr/>
      </w:pPr>
      <w:r>
        <w:rPr>
          <w:u w:val="single"/>
        </w:rPr>
        <w:t>Pension Plan</w:t>
      </w:r>
      <w:r>
        <w:rPr/>
        <w:t xml:space="preserve"> (Section 31)</w:t>
      </w:r>
    </w:p>
    <w:p>
      <w:pPr>
        <w:pStyle w:val="Paragraphe1"/>
        <w:rPr/>
      </w:pPr>
      <w:r>
        <w:rPr/>
        <w:t>Same as the CEP Local 200 Collective Agreement.</w:t>
      </w:r>
    </w:p>
    <w:p>
      <w:pPr>
        <w:pStyle w:val="Heading3"/>
        <w:ind w:hanging="0" w:start="0"/>
        <w:rPr/>
      </w:pPr>
      <w:r>
        <w:rPr>
          <w:u w:val="single"/>
        </w:rPr>
        <w:t>Group Insurance Plan</w:t>
      </w:r>
      <w:r>
        <w:rPr/>
        <w:t xml:space="preserve"> (Section 32)</w:t>
      </w:r>
    </w:p>
    <w:p>
      <w:pPr>
        <w:pStyle w:val="Paragraphe1"/>
        <w:rPr/>
      </w:pPr>
      <w:r>
        <w:rPr/>
        <w:t>Same as the CEP Local 200 Collective Agreement:.</w:t>
      </w:r>
    </w:p>
    <w:p>
      <w:pPr>
        <w:pStyle w:val="Heading3"/>
        <w:ind w:hanging="0" w:start="0"/>
        <w:rPr/>
      </w:pPr>
      <w:r>
        <w:rPr>
          <w:u w:val="single"/>
        </w:rPr>
        <w:t>Safety Boots and Safety Goggles</w:t>
      </w:r>
      <w:r>
        <w:rPr/>
        <w:t xml:space="preserve"> (Section 40)</w:t>
      </w:r>
    </w:p>
    <w:p>
      <w:pPr>
        <w:pStyle w:val="Paragraphe1"/>
        <w:rPr/>
      </w:pPr>
      <w:r>
        <w:rPr/>
        <w:t>Allowance of $85.00 per year per employee required to wear safety boots: escalation of the allowance every year.  Also, $85.00 allowance per year for prescription safety goggles.</w:t>
      </w:r>
    </w:p>
    <w:p>
      <w:pPr>
        <w:pStyle w:val="Heading3"/>
        <w:ind w:hanging="0" w:start="0"/>
        <w:rPr/>
      </w:pPr>
      <w:r>
        <w:rPr>
          <w:u w:val="single"/>
        </w:rPr>
        <w:t>Clothing Allowance</w:t>
      </w:r>
      <w:r>
        <w:rPr/>
        <w:t xml:space="preserve"> (Section 40): $60.00 per year.</w:t>
      </w:r>
    </w:p>
    <w:p>
      <w:pPr>
        <w:pStyle w:val="Heading3"/>
        <w:ind w:hanging="0" w:start="0"/>
        <w:rPr/>
      </w:pPr>
      <w:r>
        <w:rPr>
          <w:u w:val="single"/>
        </w:rPr>
        <w:t>Hours of Work</w:t>
      </w:r>
      <w:r>
        <w:rPr/>
        <w:t xml:space="preserve"> (Section 46)</w:t>
      </w:r>
    </w:p>
    <w:p>
      <w:pPr>
        <w:pStyle w:val="Paragraphe1"/>
        <w:rPr/>
      </w:pPr>
      <w:r>
        <w:rPr/>
        <w:t>Eight (8) hours per day for employees of the dayshift and employees working on shift when possible.  The regular schedule of hours for maintenance and repair crews and for all production employees of the day shift runs from 08h00 to 16h00.</w:t>
      </w:r>
    </w:p>
    <w:p>
      <w:pPr>
        <w:pStyle w:val="Paragraphe1"/>
        <w:rPr/>
      </w:pPr>
      <w:r>
        <w:rPr/>
        <w:t>Meal period: 30 minutes from 11h30 to 12h00.  Rest periods: 10 minutes in the morning and in the afternoon.</w:t>
      </w:r>
    </w:p>
    <w:p>
      <w:pPr>
        <w:pStyle w:val="Paragraphe1"/>
        <w:rPr/>
      </w:pPr>
      <w:r>
        <w:rPr/>
        <w:t>Specific provisions deal with hours of work of employees working on shift.</w:t>
      </w:r>
    </w:p>
    <w:p>
      <w:pPr>
        <w:pStyle w:val="Paragraphe1"/>
        <w:rPr/>
      </w:pPr>
      <w:r>
        <w:rPr/>
        <w:t>Meal tickets to employees required to work more than two (2) hours at the end of their regular shift.</w:t>
      </w:r>
    </w:p>
    <w:p>
      <w:pPr>
        <w:pStyle w:val="Heading3"/>
        <w:ind w:hanging="0" w:start="0"/>
        <w:rPr/>
      </w:pPr>
      <w:r>
        <w:rPr>
          <w:u w:val="single"/>
        </w:rPr>
        <w:t>Wage Scale and Lines of Progression</w:t>
      </w:r>
      <w:r>
        <w:rPr/>
        <w:t xml:space="preserve"> (Appendix A)</w:t>
      </w:r>
    </w:p>
    <w:p>
      <w:pPr>
        <w:pStyle w:val="Paragraphe1"/>
        <w:rPr/>
      </w:pPr>
      <w:r>
        <w:rPr/>
        <w:t xml:space="preserve">The hourly rates in force on April 30, 1998 were increased in accordance with the general increase agreed upon on December 12, 1998 during the negotiations with Eastern Canada Newsprint Group (ECNG). </w:t>
      </w:r>
    </w:p>
    <w:p>
      <w:pPr>
        <w:pStyle w:val="Heading3"/>
        <w:ind w:hanging="0" w:start="0"/>
        <w:rPr/>
      </w:pPr>
      <w:r>
        <w:rPr>
          <w:u w:val="single"/>
        </w:rPr>
        <w:t>Salary Increases</w:t>
      </w:r>
      <w:r>
        <w:rPr/>
        <w:t xml:space="preserve"> </w:t>
      </w:r>
    </w:p>
    <w:p>
      <w:pPr>
        <w:pStyle w:val="Paragraphe1"/>
        <w:spacing w:before="0" w:after="120"/>
        <w:ind w:start="1418" w:end="0"/>
        <w:rPr/>
      </w:pPr>
      <w:r>
        <w:rPr/>
        <w:t>May 1, 2000:</w:t>
        <w:tab/>
        <w:tab/>
        <w:t>$0.50/hour</w:t>
      </w:r>
    </w:p>
    <w:p>
      <w:pPr>
        <w:pStyle w:val="Paragraphe1"/>
        <w:spacing w:before="0" w:after="120"/>
        <w:ind w:start="1418" w:end="0"/>
        <w:rPr/>
      </w:pPr>
      <w:r>
        <w:rPr/>
        <w:t>May 1, 2001:</w:t>
        <w:tab/>
        <w:tab/>
        <w:t>2 %</w:t>
      </w:r>
    </w:p>
    <w:p>
      <w:pPr>
        <w:pStyle w:val="Paragraphe1"/>
        <w:spacing w:before="0" w:after="120"/>
        <w:ind w:start="1418" w:end="0"/>
        <w:rPr/>
      </w:pPr>
      <w:r>
        <w:rPr/>
        <w:t>May 1, 2002:</w:t>
        <w:tab/>
        <w:tab/>
        <w:t>2 %</w:t>
      </w:r>
    </w:p>
    <w:p>
      <w:pPr>
        <w:pStyle w:val="Paragraphe1"/>
        <w:spacing w:before="0" w:after="120"/>
        <w:ind w:start="1418" w:end="0"/>
        <w:rPr/>
      </w:pPr>
      <w:r>
        <w:rPr/>
        <w:t>May 1, 2003</w:t>
        <w:tab/>
        <w:tab/>
        <w:t>2 %</w:t>
      </w:r>
    </w:p>
    <w:p>
      <w:pPr>
        <w:pStyle w:val="Heading1"/>
        <w:numPr>
          <w:ilvl w:val="0"/>
          <w:numId w:val="11"/>
        </w:numPr>
        <w:rPr/>
      </w:pPr>
      <w:r>
        <w:rPr/>
        <w:t>OBSERVATIONS</w:t>
      </w:r>
    </w:p>
    <w:p>
      <w:pPr>
        <w:pStyle w:val="Paragraphe1"/>
        <w:rPr/>
      </w:pPr>
      <w:r>
        <w:rPr/>
        <w:t xml:space="preserve">The conditions provided for by the CEP Local 137 and 250 Collective Agreement are extremely advantageous for the employees.  The non-monetary provisions severally restrict the management rights provision.  Every aspect of labour relations is regulated, down to the most minute detail and the Employer's actions are closely monitored by the Union with the consequence that the Employer appears to have very little flexibility in the management of its Human Resources. </w:t>
      </w:r>
    </w:p>
    <w:p>
      <w:pPr>
        <w:pStyle w:val="Paragraphe1"/>
        <w:rPr/>
      </w:pPr>
      <w:r>
        <w:rPr/>
        <w:t xml:space="preserve">The Union is clearly pervasive in all aspects of labour relations.  Consequently, it is next to impossible for the Employer to take any action or implement any policy with regard to the working conditions of the unionized personnel without obtaining the Union's consent.  </w:t>
      </w:r>
    </w:p>
    <w:p>
      <w:pPr>
        <w:pStyle w:val="Paragraphe1"/>
        <w:rPr/>
      </w:pPr>
      <w:r>
        <w:rPr/>
        <w:t>Finally, the fact that negotiation on the major issues is done at the level of the Eastern Canada Newsprint Group (ECNG) and that the Employer is involved in pattern bargaining is very disturbing.</w:t>
      </w:r>
    </w:p>
    <w:p>
      <w:pPr>
        <w:pStyle w:val="Paragraphe1"/>
        <w:rPr/>
      </w:pPr>
      <w:r>
        <w:rPr/>
      </w:r>
    </w:p>
    <w:p>
      <w:pPr>
        <w:pStyle w:val="Numrodedocument"/>
        <w:rPr/>
      </w:pPr>
      <w:r>
        <w:rPr/>
        <w:t>(597996)</w:t>
      </w:r>
    </w:p>
    <w:sectPr>
      <w:headerReference w:type="default" r:id="rId2"/>
      <w:headerReference w:type="first" r:id="rId3"/>
      <w:footerReference w:type="default" r:id="rId4"/>
      <w:footerReference w:type="first" r:id="rId5"/>
      <w:type w:val="nextPage"/>
      <w:pgSz w:w="12240" w:h="15840"/>
      <w:pgMar w:left="1080" w:right="1080" w:gutter="0" w:header="346" w:top="402" w:footer="216"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Garamond">
    <w:charset w:val="00" w:characterSet="windows-1252"/>
    <w:family w:val="roman"/>
    <w:pitch w:val="variable"/>
  </w:font>
  <w:font w:name="Gill San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340" w:type="dxa"/>
      <w:jc w:val="center"/>
      <w:tblInd w:w="0" w:type="dxa"/>
      <w:tblLayout w:type="fixed"/>
      <w:tblCellMar>
        <w:top w:w="0" w:type="dxa"/>
        <w:start w:w="70" w:type="dxa"/>
        <w:bottom w:w="0" w:type="dxa"/>
        <w:end w:w="70" w:type="dxa"/>
      </w:tblCellMar>
    </w:tblPr>
    <w:tblGrid>
      <w:gridCol w:w="11340"/>
    </w:tblGrid>
    <w:tr>
      <w:trPr/>
      <w:tc>
        <w:tcPr>
          <w:tcW w:w="11340" w:type="dxa"/>
          <w:tcBorders/>
        </w:tcPr>
        <w:p>
          <w:pPr>
            <w:pStyle w:val="Footer"/>
            <w:jc w:val="center"/>
            <w:rPr>
              <w:rFonts w:ascii="Gill Sans" w:hAnsi="Gill Sans" w:cs="Gill Sans"/>
              <w:smallCaps/>
              <w:sz w:val="18"/>
            </w:rPr>
          </w:pPr>
          <w:r>
            <w:rPr>
              <w:rFonts w:cs="Gill Sans" w:ascii="Gill Sans" w:hAnsi="Gill Sans"/>
              <w:smallCaps/>
              <w:sz w:val="18"/>
            </w:rPr>
            <w:t>trade mark agents</w:t>
          </w:r>
        </w:p>
      </w:tc>
    </w:tr>
    <w:tr>
      <w:trPr/>
      <w:tc>
        <w:tcPr>
          <w:tcW w:w="11340" w:type="dxa"/>
          <w:tcBorders>
            <w:top w:val="single" w:sz="4" w:space="0" w:color="000000"/>
          </w:tcBorders>
        </w:tcPr>
        <w:p>
          <w:pPr>
            <w:pStyle w:val="Footer"/>
            <w:spacing w:lineRule="exact" w:line="200"/>
            <w:jc w:val="center"/>
            <w:rPr>
              <w:rFonts w:ascii="Gill Sans" w:hAnsi="Gill Sans" w:cs="Gill Sans"/>
              <w:spacing w:val="-2"/>
              <w:sz w:val="16"/>
            </w:rPr>
          </w:pPr>
          <w:r>
            <w:rPr>
              <w:rFonts w:cs="Gill Sans" w:ascii="Gill Sans" w:hAnsi="Gill Sans"/>
              <w:spacing w:val="-2"/>
              <w:sz w:val="16"/>
            </w:rPr>
            <w:t xml:space="preserve">1250 René-Lévesque West, Suite 1400, Montreal, Quebec H3B 5E9  Telephone: (514) 925-6300  Telecopier: (514) 925-9001  E-Mail: </w:t>
          </w:r>
          <w:hyperlink r:id="rId1">
            <w:r>
              <w:rPr>
                <w:rStyle w:val="Hyperlink"/>
                <w:rFonts w:cs="Gill Sans" w:ascii="Gill Sans" w:hAnsi="Gill Sans"/>
                <w:spacing w:val="-2"/>
                <w:sz w:val="16"/>
              </w:rPr>
              <w:t>general@lapros.qc.ca</w:t>
            </w:r>
          </w:hyperlink>
        </w:p>
        <w:p>
          <w:pPr>
            <w:pStyle w:val="Footer"/>
            <w:spacing w:lineRule="exact" w:line="200"/>
            <w:jc w:val="center"/>
            <w:rPr>
              <w:rFonts w:ascii="Gill Sans" w:hAnsi="Gill Sans" w:cs="Gill Sans"/>
              <w:spacing w:val="-2"/>
              <w:sz w:val="16"/>
            </w:rPr>
          </w:pPr>
          <w:r>
            <w:rPr>
              <w:rFonts w:cs="Gill Sans" w:ascii="Gill Sans" w:hAnsi="Gill Sans"/>
              <w:spacing w:val="-2"/>
              <w:sz w:val="16"/>
            </w:rPr>
            <w:t>http://www.lapros.qc.ca</w:t>
          </w:r>
        </w:p>
      </w:tc>
    </w:tr>
  </w:tbl>
  <w:p>
    <w:pPr>
      <w:pStyle w:val="Footer"/>
      <w:jc w:val="center"/>
      <w:rPr>
        <w:spacing w:val="-8"/>
        <w:sz w:val="14"/>
      </w:rPr>
    </w:pPr>
    <w:r>
      <w:rPr>
        <w:spacing w:val="-8"/>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2438" w:type="dxa"/>
      <w:jc w:val="center"/>
      <w:tblInd w:w="0" w:type="dxa"/>
      <w:tblLayout w:type="fixed"/>
      <w:tblCellMar>
        <w:top w:w="0" w:type="dxa"/>
        <w:start w:w="70" w:type="dxa"/>
        <w:bottom w:w="0" w:type="dxa"/>
        <w:end w:w="70" w:type="dxa"/>
      </w:tblCellMar>
    </w:tblPr>
    <w:tblGrid>
      <w:gridCol w:w="2438"/>
    </w:tblGrid>
    <w:tr>
      <w:trPr>
        <w:trHeight w:val="737" w:hRule="exact"/>
      </w:trPr>
      <w:tc>
        <w:tcPr>
          <w:tcW w:w="2438" w:type="dxa"/>
          <w:tcBorders>
            <w:top w:val="single" w:sz="4" w:space="0" w:color="000000"/>
            <w:start w:val="single" w:sz="4" w:space="0" w:color="000000"/>
            <w:bottom w:val="single" w:sz="4" w:space="0" w:color="000000"/>
            <w:end w:val="single" w:sz="4" w:space="0" w:color="000000"/>
          </w:tcBorders>
          <w:shd w:fill="000000" w:val="clear"/>
          <w:vAlign w:val="center"/>
        </w:tcPr>
        <w:p>
          <w:pPr>
            <w:pStyle w:val="Header"/>
            <w:jc w:val="center"/>
            <w:rPr>
              <w:rFonts w:ascii="Garamond" w:hAnsi="Garamond" w:cs="Garamond"/>
            </w:rPr>
          </w:pPr>
          <w:r>
            <w:rPr>
              <w:rFonts w:cs="Garamond" w:ascii="Garamond" w:hAnsi="Garamond"/>
            </w:rPr>
            <w:t>Lapointe Rosenstein</w:t>
          </w:r>
        </w:p>
      </w:tc>
    </w:tr>
    <w:tr>
      <w:trPr>
        <w:trHeight w:val="680" w:hRule="exact"/>
      </w:trPr>
      <w:tc>
        <w:tcPr>
          <w:tcW w:w="2438" w:type="dxa"/>
          <w:tcBorders>
            <w:top w:val="single" w:sz="4" w:space="0" w:color="000000"/>
            <w:start w:val="single" w:sz="4" w:space="0" w:color="000000"/>
            <w:bottom w:val="single" w:sz="4" w:space="0" w:color="000000"/>
            <w:end w:val="single" w:sz="4" w:space="0" w:color="000000"/>
          </w:tcBorders>
          <w:vAlign w:val="center"/>
        </w:tcPr>
        <w:p>
          <w:pPr>
            <w:pStyle w:val="Header"/>
            <w:snapToGrid w:val="false"/>
            <w:jc w:val="center"/>
            <w:rPr>
              <w:rFonts w:ascii="Garamond" w:hAnsi="Garamond" w:cs="Garamond"/>
              <w:color w:val="FFFFFF"/>
              <w:sz w:val="18"/>
            </w:rPr>
          </w:pPr>
          <w:r>
            <w:rPr>
              <w:rFonts w:cs="Garamond" w:ascii="Garamond" w:hAnsi="Garamond"/>
              <w:color w:val="FFFFFF"/>
              <w:sz w:val="18"/>
            </w:rPr>
          </w:r>
        </w:p>
      </w:tc>
    </w:tr>
  </w:tbl>
  <w:p>
    <w:pPr>
      <w:pStyle w:val="Header"/>
      <w:jc w:val="center"/>
      <w:rPr>
        <w:rFonts w:ascii="Times New Roman" w:hAnsi="Times New Roman" w:cs="Times New Roman"/>
      </w:rPr>
    </w:pPr>
    <w:r>
      <w:rPr>
        <w:rFonts w:cs="Times New Roman" w:ascii="Times New Roman" w:hAnsi="Times New Roman"/>
      </w:rPr>
    </w:r>
  </w:p>
  <w:p>
    <w:pPr>
      <w:pStyle w:val="Header"/>
      <w:spacing w:before="0" w:after="240"/>
      <w:jc w:val="center"/>
      <w:rPr/>
    </w:pPr>
    <w:r>
      <w:rPr/>
      <w:t>–</w:t>
    </w:r>
    <w:r>
      <w:rPr>
        <w:rFonts w:eastAsia="Arial"/>
      </w:rPr>
      <w:t xml:space="preserve"> </w:t>
    </w:r>
    <w:r>
      <w:rPr/>
      <w:fldChar w:fldCharType="begin"/>
    </w:r>
    <w:r>
      <w:rPr/>
      <w:instrText xml:space="preserve"> PAGE </w:instrText>
    </w:r>
    <w:r>
      <w:rPr/>
      <w:fldChar w:fldCharType="separate"/>
    </w:r>
    <w:r>
      <w:rPr/>
      <w:t>29</w:t>
    </w:r>
    <w:r>
      <w:rPr/>
      <w:fldChar w:fldCharType="end"/>
    </w:r>
    <w:r>
      <w:rPr>
        <w:rFonts w:eastAsia="Arial"/>
      </w:rPr>
      <w:t xml:space="preserve"> </w:t>
    </w:r>
    <w:r>
      <w:rPr/>
      <w: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3402" w:type="dxa"/>
      <w:jc w:val="center"/>
      <w:tblInd w:w="0" w:type="dxa"/>
      <w:tblLayout w:type="fixed"/>
      <w:tblCellMar>
        <w:top w:w="0" w:type="dxa"/>
        <w:start w:w="70" w:type="dxa"/>
        <w:bottom w:w="0" w:type="dxa"/>
        <w:end w:w="70" w:type="dxa"/>
      </w:tblCellMar>
    </w:tblPr>
    <w:tblGrid>
      <w:gridCol w:w="3402"/>
    </w:tblGrid>
    <w:tr>
      <w:trPr>
        <w:trHeight w:val="1021" w:hRule="exact"/>
      </w:trPr>
      <w:tc>
        <w:tcPr>
          <w:tcW w:w="3402" w:type="dxa"/>
          <w:tcBorders>
            <w:top w:val="single" w:sz="4" w:space="0" w:color="000000"/>
            <w:start w:val="single" w:sz="4" w:space="0" w:color="000000"/>
            <w:bottom w:val="single" w:sz="4" w:space="0" w:color="000000"/>
            <w:end w:val="single" w:sz="4" w:space="0" w:color="000000"/>
          </w:tcBorders>
          <w:shd w:fill="000000" w:val="clear"/>
          <w:vAlign w:val="center"/>
        </w:tcPr>
        <w:p>
          <w:pPr>
            <w:pStyle w:val="Logo"/>
            <w:rPr/>
          </w:pPr>
          <w:r>
            <w:rPr/>
            <w:t>Lapointe Rosenstein</w:t>
          </w:r>
        </w:p>
      </w:tc>
    </w:tr>
    <w:tr>
      <w:trPr>
        <w:trHeight w:val="907" w:hRule="exact"/>
      </w:trPr>
      <w:tc>
        <w:tcPr>
          <w:tcW w:w="3402" w:type="dxa"/>
          <w:tcBorders>
            <w:start w:val="single" w:sz="4" w:space="0" w:color="000000"/>
            <w:bottom w:val="single" w:sz="4" w:space="0" w:color="000000"/>
            <w:end w:val="single" w:sz="4" w:space="0" w:color="000000"/>
          </w:tcBorders>
          <w:shd w:fill="FFFFFF" w:val="clear"/>
          <w:vAlign w:val="center"/>
        </w:tcPr>
        <w:p>
          <w:pPr>
            <w:pStyle w:val="Logo"/>
            <w:rPr>
              <w:rFonts w:ascii="Gill Sans" w:hAnsi="Gill Sans" w:cs="Gill Sans"/>
              <w:smallCaps/>
              <w:spacing w:val="16"/>
              <w:sz w:val="16"/>
            </w:rPr>
          </w:pPr>
          <w:r>
            <w:rPr>
              <w:rFonts w:cs="Gill Sans" w:ascii="Gill Sans" w:hAnsi="Gill Sans"/>
              <w:smallCaps/>
              <w:spacing w:val="16"/>
              <w:sz w:val="16"/>
            </w:rPr>
            <w:t>a general partnership</w:t>
          </w:r>
        </w:p>
        <w:p>
          <w:pPr>
            <w:pStyle w:val="Logo"/>
            <w:rPr>
              <w:spacing w:val="36"/>
              <w:sz w:val="25"/>
            </w:rPr>
          </w:pPr>
          <w:r>
            <w:rPr>
              <w:spacing w:val="36"/>
              <w:sz w:val="25"/>
            </w:rPr>
            <w:t>Barristers &amp; Solicitors</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0" w:hanging="0"/>
      </w:pPr>
    </w:lvl>
    <w:lvl w:ilvl="1">
      <w:start w:val="1"/>
      <w:pStyle w:val="Heading2"/>
      <w:numFmt w:val="decimal"/>
      <w:lvlText w:val="%1.%2"/>
      <w:lvlJc w:val="start"/>
      <w:pPr>
        <w:tabs>
          <w:tab w:val="num" w:pos="720"/>
        </w:tabs>
        <w:ind w:start="720" w:hanging="720"/>
      </w:pPr>
    </w:lvl>
    <w:lvl w:ilvl="2">
      <w:start w:val="1"/>
      <w:pStyle w:val="Heading3"/>
      <w:numFmt w:val="lowerLetter"/>
      <w:lvlText w:val="(%3)"/>
      <w:lvlJc w:val="start"/>
      <w:pPr>
        <w:tabs>
          <w:tab w:val="num" w:pos="1440"/>
        </w:tabs>
        <w:ind w:start="1440" w:hanging="720"/>
      </w:pPr>
    </w:lvl>
    <w:lvl w:ilvl="3">
      <w:start w:val="1"/>
      <w:pStyle w:val="Heading4"/>
      <w:numFmt w:val="lowerRoman"/>
      <w:lvlText w:val="(%4)"/>
      <w:lvlJc w:val="start"/>
      <w:pPr>
        <w:tabs>
          <w:tab w:val="num" w:pos="2160"/>
        </w:tabs>
        <w:ind w:start="2160" w:hanging="720"/>
      </w:pPr>
    </w:lvl>
    <w:lvl w:ilvl="4">
      <w:start w:val="1"/>
      <w:pStyle w:val="Heading5"/>
      <w:numFmt w:val="bullet"/>
      <w:lvlText w:val=""/>
      <w:lvlJc w:val="start"/>
      <w:pPr>
        <w:tabs>
          <w:tab w:val="num" w:pos="2160"/>
        </w:tabs>
        <w:ind w:start="2160" w:hanging="720"/>
      </w:pPr>
      <w:rPr>
        <w:rFonts w:ascii="Symbol" w:hAnsi="Symbol" w:cs="Symbol" w:hint="default"/>
        <w:color w:val="auto"/>
      </w:rPr>
    </w:lvl>
    <w:lvl w:ilvl="5">
      <w:start w:val="1"/>
      <w:numFmt w:val="lowerLetter"/>
      <w:lvlText w:val="%6)"/>
      <w:lvlJc w:val="start"/>
      <w:pPr>
        <w:tabs>
          <w:tab w:val="num" w:pos="2880"/>
        </w:tabs>
        <w:ind w:start="2880" w:hanging="720"/>
      </w:pPr>
    </w:lvl>
    <w:lvl w:ilvl="6">
      <w:start w:val="1"/>
      <w:numFmt w:val="lowerRoman"/>
      <w:lvlText w:val="%7)"/>
      <w:lvlJc w:val="start"/>
      <w:pPr>
        <w:tabs>
          <w:tab w:val="num" w:pos="3600"/>
        </w:tabs>
        <w:ind w:start="3600" w:hanging="720"/>
      </w:pPr>
    </w:lvl>
    <w:lvl w:ilvl="7">
      <w:start w:val="1"/>
      <w:numFmt w:val="upperRoman"/>
      <w:lvlText w:val="%8-"/>
      <w:lvlJc w:val="start"/>
      <w:pPr>
        <w:tabs>
          <w:tab w:val="num" w:pos="1440"/>
        </w:tabs>
        <w:ind w:start="1440" w:hanging="1440"/>
      </w:pPr>
    </w:lvl>
    <w:lvl w:ilvl="8">
      <w:start w:val="1"/>
      <w:numFmt w:val="decimal"/>
      <w:lvlText w:val="%1.%2.%3.%4.%5.%6.%7.%8.%9"/>
      <w:lvlJc w:val="start"/>
      <w:pPr>
        <w:tabs>
          <w:tab w:val="num" w:pos="1584"/>
        </w:tabs>
        <w:ind w:start="1584" w:hanging="1584"/>
      </w:pPr>
    </w:lvl>
  </w:abstractNum>
  <w:abstractNum w:abstractNumId="2">
    <w:lvl w:ilvl="0">
      <w:start w:val="1"/>
      <w:numFmt w:val="bullet"/>
      <w:lvlText w:val=""/>
      <w:lvlJc w:val="start"/>
      <w:pPr>
        <w:tabs>
          <w:tab w:val="num" w:pos="864"/>
        </w:tabs>
        <w:ind w:start="864" w:hanging="864"/>
      </w:pPr>
      <w:rPr>
        <w:rFonts w:ascii="Symbol" w:hAnsi="Symbol" w:cs="Symbol" w:hint="default"/>
      </w:rPr>
    </w:lvl>
  </w:abstractNum>
  <w:abstractNum w:abstractNumId="3">
    <w:lvl w:ilvl="0">
      <w:start w:val="1"/>
      <w:numFmt w:val="upperRoman"/>
      <w:lvlText w:val="%1."/>
      <w:lvlJc w:val="start"/>
      <w:pPr>
        <w:tabs>
          <w:tab w:val="num" w:pos="720"/>
        </w:tabs>
        <w:ind w:start="720" w:hanging="720"/>
      </w:pPr>
    </w:lvl>
  </w:abstractNum>
  <w:abstractNum w:abstractNumId="4">
    <w:lvl w:ilvl="0">
      <w:start w:val="1"/>
      <w:numFmt w:val="decimal"/>
      <w:lvlText w:val="(%1)"/>
      <w:lvlJc w:val="start"/>
      <w:pPr>
        <w:tabs>
          <w:tab w:val="num" w:pos="1426"/>
        </w:tabs>
        <w:ind w:start="1426" w:hanging="720"/>
      </w:pPr>
      <w:rPr/>
    </w:lvl>
  </w:abstractNum>
  <w:abstractNum w:abstractNumId="5">
    <w:lvl w:ilvl="0">
      <w:start w:val="1"/>
      <w:numFmt w:val="decimal"/>
      <w:lvlText w:val="(%1)"/>
      <w:lvlJc w:val="start"/>
      <w:pPr>
        <w:tabs>
          <w:tab w:val="num" w:pos="1426"/>
        </w:tabs>
        <w:ind w:start="1426" w:hanging="720"/>
      </w:pPr>
      <w:rPr/>
    </w:lvl>
  </w:abstractNum>
  <w:abstractNum w:abstractNumId="6">
    <w:lvl w:ilvl="0">
      <w:start w:val="1"/>
      <w:numFmt w:val="decimal"/>
      <w:lvlText w:val="(%1)"/>
      <w:lvlJc w:val="start"/>
      <w:pPr>
        <w:tabs>
          <w:tab w:val="num" w:pos="1426"/>
        </w:tabs>
        <w:ind w:start="1426" w:hanging="720"/>
      </w:pPr>
      <w:rPr/>
    </w:lvl>
  </w:abstractNum>
  <w:abstractNum w:abstractNumId="7">
    <w:lvl w:ilvl="0">
      <w:start w:val="1"/>
      <w:numFmt w:val="bullet"/>
      <w:lvlText w:val=""/>
      <w:lvlJc w:val="start"/>
      <w:pPr>
        <w:tabs>
          <w:tab w:val="num" w:pos="864"/>
        </w:tabs>
        <w:ind w:start="864" w:hanging="864"/>
      </w:pPr>
      <w:rPr>
        <w:rFonts w:ascii="Symbol" w:hAnsi="Symbol" w:cs="Symbol" w:hint="default"/>
      </w:rPr>
    </w:lvl>
  </w:abstractNum>
  <w:abstractNum w:abstractNumId="8">
    <w:lvl w:ilvl="0">
      <w:start w:val="1"/>
      <w:numFmt w:val="decimal"/>
      <w:lvlText w:val="(%1)"/>
      <w:lvlJc w:val="start"/>
      <w:pPr>
        <w:tabs>
          <w:tab w:val="num" w:pos="1426"/>
        </w:tabs>
        <w:ind w:start="1426" w:hanging="720"/>
      </w:pPr>
      <w:rPr/>
    </w:lvl>
  </w:abstractNum>
  <w:abstractNum w:abstractNumId="9">
    <w:lvl w:ilvl="0">
      <w:start w:val="1"/>
      <w:numFmt w:val="decimal"/>
      <w:lvlText w:val="(%1)"/>
      <w:lvlJc w:val="start"/>
      <w:pPr>
        <w:tabs>
          <w:tab w:val="num" w:pos="1426"/>
        </w:tabs>
        <w:ind w:start="1426" w:hanging="720"/>
      </w:pPr>
      <w:rPr/>
    </w:lvl>
  </w:abstractNum>
  <w:abstractNum w:abstractNumId="10">
    <w:lvl w:ilvl="0">
      <w:start w:val="1"/>
      <w:numFmt w:val="lowerLetter"/>
      <w:lvlText w:val="(%1)"/>
      <w:lvlJc w:val="start"/>
      <w:pPr>
        <w:tabs>
          <w:tab w:val="num" w:pos="1425"/>
        </w:tabs>
        <w:ind w:start="1425" w:hanging="705"/>
      </w:pPr>
      <w:rPr/>
    </w:lvl>
  </w:abstractNum>
  <w:abstractNum w:abstractNumId="11">
    <w:lvl w:ilvl="0">
      <w:start w:val="1"/>
      <w:numFmt w:val="upperLetter"/>
      <w:lvlText w:val="%1."/>
      <w:lvlJc w:val="start"/>
      <w:pPr>
        <w:tabs>
          <w:tab w:val="num" w:pos="360"/>
        </w:tabs>
        <w:ind w:start="360" w:hanging="360"/>
      </w:pPr>
    </w:lvl>
  </w:abstractNum>
  <w:abstractNum w:abstractNumId="12">
    <w:lvl w:ilvl="0">
      <w:start w:val="4"/>
      <w:numFmt w:val="upp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
    <w:lvlOverride w:ilvl="0">
      <w:startOverride w:val="1"/>
    </w:lvlOverride>
    <w:lvlOverride w:ilvl="1">
      <w:startOverride w:val="1"/>
    </w:lvlOverride>
    <w:lvlOverride w:ilvl="2">
      <w:startOverride w:val="1"/>
    </w:lvlOverride>
  </w:num>
  <w:num w:numId="14">
    <w:abstractNumId w:val="11"/>
    <w:lvlOverride w:ilvl="0">
      <w:startOverride w:val="1"/>
    </w:lvlOverride>
  </w:num>
  <w:num w:numId="15">
    <w:abstractNumId w:val="1"/>
    <w:lvlOverride w:ilvl="0">
      <w:startOverride w:val="1"/>
    </w:lvlOverride>
    <w:lvlOverride w:ilvl="1">
      <w:startOverride w:val="1"/>
    </w:lvlOverride>
    <w:lvlOverride w:ilvl="2">
      <w:startOverride w:val="1"/>
    </w:lvlOverride>
  </w:num>
  <w:num w:numId="16">
    <w:abstractNumId w:val="1"/>
    <w:lvlOverride w:ilvl="0">
      <w:startOverride w:val="1"/>
    </w:lvlOverride>
    <w:lvlOverride w:ilvl="1">
      <w:startOverride w:val="1"/>
    </w:lvlOverride>
    <w:lvlOverride w:ilvl="2">
      <w:startOverride w:val="1"/>
    </w:lvlOverride>
  </w:num>
  <w:num w:numId="17">
    <w:abstractNumId w:val="11"/>
    <w:lvlOverride w:ilvl="0">
      <w:startOverride w:val="1"/>
    </w:lvlOverride>
  </w:num>
  <w:num w:numId="18">
    <w:abstractNumId w:val="1"/>
    <w:lvlOverride w:ilvl="0">
      <w:startOverride w:val="1"/>
    </w:lvlOverride>
    <w:lvlOverride w:ilvl="1">
      <w:startOverride w:val="1"/>
    </w:lvlOverride>
    <w:lvlOverride w:ilvl="2">
      <w:startOverride w:val="1"/>
    </w:lvlOverride>
  </w:num>
  <w:num w:numId="19">
    <w:abstractNumId w:val="1"/>
    <w:lvlOverride w:ilvl="0">
      <w:startOverride w:val="1"/>
    </w:lvlOverride>
    <w:lvlOverride w:ilvl="1">
      <w:startOverride w:val="1"/>
    </w:lvlOverride>
    <w:lvlOverride w:ilvl="2">
      <w:startOverride w:val="1"/>
    </w:lvlOverride>
  </w:num>
  <w:num w:numId="20">
    <w:abstractNumId w:val="11"/>
    <w:lvlOverride w:ilvl="0">
      <w:startOverride w:val="1"/>
    </w:lvlOverride>
  </w:num>
  <w:num w:numId="21">
    <w:abstractNumId w:val="1"/>
    <w:lvlOverride w:ilvl="0">
      <w:startOverride w:val="1"/>
    </w:lvlOverride>
    <w:lvlOverride w:ilvl="1">
      <w:startOverride w:val="1"/>
    </w:lvlOverride>
    <w:lvlOverride w:ilvl="2">
      <w:startOverride w:val="1"/>
    </w:lvlOverride>
  </w:num>
  <w:num w:numId="22">
    <w:abstractNumId w:val="1"/>
    <w:lvlOverride w:ilvl="0">
      <w:startOverride w:val="1"/>
    </w:lvlOverride>
    <w:lvlOverride w:ilvl="1">
      <w:startOverride w:val="1"/>
    </w:lvlOverride>
    <w:lvlOverride w:ilvl="2">
      <w:startOverride w:val="1"/>
    </w:lvlOverride>
  </w:num>
  <w:num w:numId="23">
    <w:abstractNumId w:val="11"/>
    <w:lvlOverride w:ilvl="0">
      <w:startOverride w:val="1"/>
    </w:lvlOverride>
  </w:num>
  <w:num w:numId="24">
    <w:abstractNumId w:val="1"/>
    <w:lvlOverride w:ilvl="0">
      <w:startOverride w:val="1"/>
    </w:lvlOverride>
    <w:lvlOverride w:ilvl="1">
      <w:startOverride w:val="1"/>
    </w:lvlOverride>
    <w:lvlOverride w:ilvl="2">
      <w:startOverride w:val="1"/>
    </w:lvlOverride>
  </w:num>
  <w:num w:numId="25">
    <w:abstractNumId w:val="1"/>
    <w:lvlOverride w:ilvl="0">
      <w:startOverride w:val="1"/>
    </w:lvlOverride>
    <w:lvlOverride w:ilvl="1">
      <w:startOverride w:val="1"/>
    </w:lvlOverride>
    <w:lvlOverride w:ilvl="2">
      <w:startOverride w:val="1"/>
    </w:lvlOverride>
  </w:num>
</w:numbering>
</file>

<file path=word/settings.xml><?xml version="1.0" encoding="utf-8"?>
<w:settings xmlns:w="http://schemas.openxmlformats.org/wordprocessingml/2006/main">
  <w:zoom w:percent="95"/>
  <w:defaultTabStop w:val="709"/>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CA" w:eastAsia="zh-CN" w:bidi="hi-IN"/>
    </w:rPr>
  </w:style>
  <w:style w:type="paragraph" w:styleId="Heading1">
    <w:name w:val="heading 1"/>
    <w:basedOn w:val="Normal"/>
    <w:next w:val="BodyText"/>
    <w:qFormat/>
    <w:pPr>
      <w:tabs>
        <w:tab w:val="clear" w:pos="709"/>
        <w:tab w:val="left" w:pos="720" w:leader="none"/>
      </w:tabs>
      <w:spacing w:before="0" w:after="240"/>
      <w:jc w:val="both"/>
      <w:outlineLvl w:val="0"/>
    </w:pPr>
    <w:rPr>
      <w:b/>
    </w:rPr>
  </w:style>
  <w:style w:type="paragraph" w:styleId="Heading2">
    <w:name w:val="heading 2"/>
    <w:basedOn w:val="Normal"/>
    <w:next w:val="BodyText"/>
    <w:qFormat/>
    <w:pPr>
      <w:numPr>
        <w:ilvl w:val="1"/>
        <w:numId w:val="1"/>
      </w:numPr>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Normal"/>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9">
    <w:name w:val="heading 9"/>
    <w:basedOn w:val="Normal"/>
    <w:next w:val="Normal"/>
    <w:qFormat/>
    <w:pPr>
      <w:spacing w:before="240" w:after="60"/>
      <w:outlineLvl w:val="8"/>
    </w:pPr>
    <w:rPr>
      <w:b/>
      <w:i/>
      <w:sz w:val="18"/>
    </w:rPr>
  </w:style>
  <w:style w:type="character" w:styleId="WW8Num1z0">
    <w:name w:val="WW8Num1z0"/>
    <w:qFormat/>
    <w:rPr/>
  </w:style>
  <w:style w:type="character" w:styleId="WW8Num2z0">
    <w:name w:val="WW8Num2z0"/>
    <w:qFormat/>
    <w:rPr>
      <w:rFonts w:ascii="Symbol" w:hAnsi="Symbol" w:cs="Symbol"/>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u w:val="none"/>
    </w:rPr>
  </w:style>
  <w:style w:type="character" w:styleId="WW8Num10z0">
    <w:name w:val="WW8Num10z0"/>
    <w:qFormat/>
    <w:rPr>
      <w:rFonts w:ascii="Wingdings" w:hAnsi="Wingdings" w:cs="Wingdings"/>
    </w:rPr>
  </w:style>
  <w:style w:type="character" w:styleId="WW8Num11z0">
    <w:name w:val="WW8Num11z0"/>
    <w:qFormat/>
    <w:rPr/>
  </w:style>
  <w:style w:type="character" w:styleId="WW8Num12z0">
    <w:name w:val="WW8Num12z0"/>
    <w:qFormat/>
    <w:rPr/>
  </w:style>
  <w:style w:type="character" w:styleId="WW8Num12z4">
    <w:name w:val="WW8Num12z4"/>
    <w:qFormat/>
    <w:rPr>
      <w:rFonts w:ascii="Symbol" w:hAnsi="Symbol" w:cs="Symbol"/>
      <w:color w:val="auto"/>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1z4">
    <w:name w:val="WW8Num21z4"/>
    <w:qFormat/>
    <w:rPr>
      <w:rFonts w:ascii="Symbol" w:hAnsi="Symbol" w:cs="Symbol"/>
      <w:color w:val="auto"/>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4z4">
    <w:name w:val="WW8Num24z4"/>
    <w:qFormat/>
    <w:rPr>
      <w:rFonts w:ascii="Symbol" w:hAnsi="Symbol" w:cs="Symbol"/>
      <w:color w:val="auto"/>
    </w:rPr>
  </w:style>
  <w:style w:type="character" w:styleId="WW8Num26z0">
    <w:name w:val="WW8Num26z0"/>
    <w:qFormat/>
    <w:rPr/>
  </w:style>
  <w:style w:type="character" w:styleId="WW8Num27z0">
    <w:name w:val="WW8Num27z0"/>
    <w:qFormat/>
    <w:rPr>
      <w:rFonts w:ascii="Wingdings" w:hAnsi="Wingdings" w:cs="Wingdings"/>
    </w:rPr>
  </w:style>
  <w:style w:type="character" w:styleId="WW8Num28z0">
    <w:name w:val="WW8Num28z0"/>
    <w:qFormat/>
    <w:rPr/>
  </w:style>
  <w:style w:type="character" w:styleId="WW8Num30z0">
    <w:name w:val="WW8Num30z0"/>
    <w:qFormat/>
    <w:rPr/>
  </w:style>
  <w:style w:type="character" w:styleId="WW8Num31z4">
    <w:name w:val="WW8Num31z4"/>
    <w:qFormat/>
    <w:rPr>
      <w:rFonts w:ascii="Symbol" w:hAnsi="Symbol" w:cs="Symbol"/>
      <w:color w:val="auto"/>
    </w:rPr>
  </w:style>
  <w:style w:type="character" w:styleId="WW8Num32z0">
    <w:name w:val="WW8Num32z0"/>
    <w:qFormat/>
    <w:rPr>
      <w:rFonts w:ascii="Times New Roman" w:hAnsi="Times New Roman" w:cs="Times New Roman"/>
    </w:rPr>
  </w:style>
  <w:style w:type="character" w:styleId="Policepardfaut">
    <w:name w:val="Police par défaut"/>
    <w:qForma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Header">
    <w:name w:val="header"/>
    <w:basedOn w:val="Normal"/>
    <w:pPr>
      <w:tabs>
        <w:tab w:val="clear" w:pos="709"/>
        <w:tab w:val="center" w:pos="4320" w:leader="none"/>
        <w:tab w:val="right" w:pos="8640" w:leader="none"/>
      </w:tabs>
    </w:pPr>
    <w:rPr/>
  </w:style>
  <w:style w:type="paragraph" w:styleId="BodyTextIndent">
    <w:name w:val="Body Text Indent"/>
    <w:basedOn w:val="Normal"/>
    <w:pPr>
      <w:spacing w:before="0" w:after="240"/>
      <w:ind w:hanging="0" w:start="720" w:end="720"/>
      <w:jc w:val="both"/>
    </w:pPr>
    <w:rPr/>
  </w:style>
  <w:style w:type="paragraph" w:styleId="Normalcentr">
    <w:name w:val="Normal centré"/>
    <w:basedOn w:val="Normal"/>
    <w:qFormat/>
    <w:pPr>
      <w:spacing w:before="0" w:after="240"/>
      <w:ind w:hanging="0" w:start="1440" w:end="1440"/>
      <w:jc w:val="both"/>
    </w:pPr>
    <w:rPr/>
  </w:style>
  <w:style w:type="paragraph" w:styleId="Footer">
    <w:name w:val="footer"/>
    <w:basedOn w:val="Normal"/>
    <w:pPr>
      <w:tabs>
        <w:tab w:val="clear" w:pos="709"/>
        <w:tab w:val="center" w:pos="4320" w:leader="none"/>
        <w:tab w:val="right" w:pos="8640" w:leader="none"/>
      </w:tabs>
    </w:pPr>
    <w:rPr/>
  </w:style>
  <w:style w:type="paragraph" w:styleId="PARAGRAPHE">
    <w:name w:val="PARAGRAPHE"/>
    <w:basedOn w:val="Normal"/>
    <w:qFormat/>
    <w:pPr>
      <w:spacing w:before="0" w:after="240"/>
      <w:jc w:val="both"/>
    </w:pPr>
    <w:rPr>
      <w:caps/>
    </w:rPr>
  </w:style>
  <w:style w:type="paragraph" w:styleId="Logo">
    <w:name w:val="Logo"/>
    <w:basedOn w:val="Normal"/>
    <w:qFormat/>
    <w:pPr>
      <w:jc w:val="center"/>
    </w:pPr>
    <w:rPr>
      <w:rFonts w:ascii="Garamond" w:hAnsi="Garamond" w:cs="Garamond"/>
      <w:sz w:val="36"/>
    </w:rPr>
  </w:style>
  <w:style w:type="paragraph" w:styleId="TITRE">
    <w:name w:val="TITRE"/>
    <w:basedOn w:val="Normal"/>
    <w:qFormat/>
    <w:pPr>
      <w:spacing w:before="0" w:after="480"/>
      <w:jc w:val="center"/>
    </w:pPr>
    <w:rPr>
      <w:b/>
      <w:caps/>
      <w:lang w:val="fr-CA"/>
    </w:rPr>
  </w:style>
  <w:style w:type="paragraph" w:styleId="Paragraphe1">
    <w:name w:val="Paragraphe 1"/>
    <w:basedOn w:val="Normal"/>
    <w:qFormat/>
    <w:pPr>
      <w:spacing w:before="0" w:after="240"/>
      <w:ind w:hanging="0" w:start="709" w:end="0"/>
      <w:jc w:val="both"/>
    </w:pPr>
    <w:rPr/>
  </w:style>
  <w:style w:type="paragraph" w:styleId="Paragraphe2">
    <w:name w:val="Paragraphe 2"/>
    <w:basedOn w:val="Normal"/>
    <w:qFormat/>
    <w:pPr>
      <w:spacing w:before="0" w:after="240"/>
      <w:ind w:firstLine="720" w:start="0" w:end="0"/>
      <w:jc w:val="both"/>
    </w:pPr>
    <w:rPr/>
  </w:style>
  <w:style w:type="paragraph" w:styleId="Paragraphe3">
    <w:name w:val="Paragraphe 3"/>
    <w:basedOn w:val="Normal"/>
    <w:qFormat/>
    <w:pPr>
      <w:spacing w:before="0" w:after="240"/>
      <w:ind w:hanging="0" w:start="720" w:end="0"/>
      <w:jc w:val="both"/>
    </w:pPr>
    <w:rPr/>
  </w:style>
  <w:style w:type="paragraph" w:styleId="GRANDTITRE">
    <w:name w:val="GRAND TITRE"/>
    <w:basedOn w:val="Normal"/>
    <w:qFormat/>
    <w:pPr>
      <w:spacing w:before="480" w:after="240"/>
      <w:jc w:val="center"/>
    </w:pPr>
    <w:rPr>
      <w:b/>
      <w:caps/>
      <w:sz w:val="32"/>
    </w:rPr>
  </w:style>
  <w:style w:type="paragraph" w:styleId="Numrodedocument">
    <w:name w:val="Numéro de document"/>
    <w:basedOn w:val="Normal"/>
    <w:qFormat/>
    <w:pPr/>
    <w:rPr>
      <w:sz w:val="16"/>
      <w:lang w:val="fr-CA"/>
    </w:rPr>
  </w:style>
  <w:style w:type="paragraph" w:styleId="Sujet">
    <w:name w:val="Sujet"/>
    <w:basedOn w:val="Normal"/>
    <w:qFormat/>
    <w:pPr>
      <w:spacing w:before="240" w:after="0"/>
    </w:pPr>
    <w:rPr>
      <w:caps/>
    </w:rPr>
  </w:style>
  <w:style w:type="paragraph" w:styleId="1Titre10">
    <w:name w:val="(1) Titre 10"/>
    <w:basedOn w:val="Paragraphe1"/>
    <w:qFormat/>
    <w:pPr>
      <w:ind w:hanging="0" w:start="706" w:end="0"/>
    </w:pPr>
    <w:rPr/>
  </w:style>
  <w:style w:type="paragraph" w:styleId="Style11">
    <w:name w:val="Style1"/>
    <w:basedOn w:val="Paragraphe1"/>
    <w:qFormat/>
    <w:pPr>
      <w:numPr>
        <w:ilvl w:val="0"/>
        <w:numId w:val="3"/>
      </w:numPr>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mailto:general@lapros.qc.ca"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Note ANG.dot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2000-09-08T17:31:00Z</dcterms:created>
  <dc:creator>JBT</dc:creator>
  <dc:description/>
  <dc:language>en-CA</dc:language>
  <cp:lastModifiedBy>JBT</cp:lastModifiedBy>
  <cp:lastPrinted>2000-09-08T16:01:00Z</cp:lastPrinted>
  <dcterms:modified xsi:type="dcterms:W3CDTF">2000-09-08T17:31:00Z</dcterms:modified>
  <cp:revision>2</cp:revision>
  <dc:subject/>
  <dc:title>Lapointe Rosenstein</dc:title>
</cp:coreProperties>
</file>