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2"/>
        <w:ind w:hanging="0" w:start="0"/>
        <w:rPr/>
      </w:pPr>
      <w:r>
        <w:rPr/>
        <w:t>WHERE WE ARE NOW</w:t>
      </w:r>
    </w:p>
    <w:p>
      <w:pPr>
        <w:pStyle w:val="Normal"/>
        <w:rPr/>
      </w:pPr>
      <w:r>
        <w:rPr/>
      </w:r>
    </w:p>
    <w:p>
      <w:pPr>
        <w:pStyle w:val="Normal"/>
        <w:numPr>
          <w:ilvl w:val="0"/>
          <w:numId w:val="3"/>
        </w:numPr>
        <w:rPr/>
      </w:pPr>
      <w:r>
        <w:rPr/>
        <w:t>AB1890 construct of PX credit and CTC within an overall rate freeze is still intact for PG&amp;E and SCE.  Rate freeze was over for SDG&amp;E in June, 1999.  Rate freeze for PG&amp;E and SCE could conceivably extend through March 31, 2002.  In theory, while rate freeze is in place, utility is responsible for all procurement costs.</w:t>
      </w:r>
    </w:p>
    <w:p>
      <w:pPr>
        <w:pStyle w:val="Normal"/>
        <w:rPr/>
      </w:pPr>
      <w:r>
        <w:rPr/>
      </w:r>
    </w:p>
    <w:p>
      <w:pPr>
        <w:pStyle w:val="Normal"/>
        <w:numPr>
          <w:ilvl w:val="0"/>
          <w:numId w:val="3"/>
        </w:numPr>
        <w:rPr/>
      </w:pPr>
      <w:r>
        <w:rPr/>
        <w:t>For PG&amp;E and SCE, PX credit mechanism is in dispute.  With the power exchange no longer functioning (since January 2001) PG&amp;E and SCE have both resorted to a cost based mechanism.  PUC approval for these changes has not been given.  Enron has supported a market-based measurement for the PX credit based on Dow Jones indices for California.  Enron believes a January 1999 stipulation among the utilities, Enron, and WPTF, which was approved by the PUC and first allowed negative CTC, is still intact.</w:t>
      </w:r>
    </w:p>
    <w:p>
      <w:pPr>
        <w:pStyle w:val="Normal"/>
        <w:rPr/>
      </w:pPr>
      <w:r>
        <w:rPr/>
      </w:r>
    </w:p>
    <w:p>
      <w:pPr>
        <w:pStyle w:val="Normal"/>
        <w:numPr>
          <w:ilvl w:val="0"/>
          <w:numId w:val="3"/>
        </w:numPr>
        <w:rPr/>
      </w:pPr>
      <w:r>
        <w:rPr/>
        <w:t>DWR is filling the utilities’ net short and has notified the PUC of its revenue requirement ($13 billion) for the period January 2001 through December 2002.  Under existing law, DWR is entitled to inform the PUC of its just and reasonable revenue requirements and the PUC is obligated to establish rates that produce the revenue requirement.</w:t>
      </w:r>
    </w:p>
    <w:p>
      <w:pPr>
        <w:pStyle w:val="Normal"/>
        <w:rPr/>
      </w:pPr>
      <w:r>
        <w:rPr/>
      </w:r>
    </w:p>
    <w:p>
      <w:pPr>
        <w:pStyle w:val="Normal"/>
        <w:numPr>
          <w:ilvl w:val="0"/>
          <w:numId w:val="3"/>
        </w:numPr>
        <w:rPr/>
      </w:pPr>
      <w:r>
        <w:rPr/>
        <w:t>In anticipation of higher revenue requirements related to procurement, the PUC has approved surcharges totalling 4 cents per kWh for PG&amp;E and SCE.  The PUC has not yet identified how much of these surcharges will go to pay DWR revenue requirements.  The PUC is scheduled to address this issue as well as a potential rate increase for SDG&amp;E at its August 23, 2001 meeting.</w:t>
      </w:r>
    </w:p>
    <w:p>
      <w:pPr>
        <w:pStyle w:val="Normal"/>
        <w:rPr/>
      </w:pPr>
      <w:r>
        <w:rPr/>
      </w:r>
    </w:p>
    <w:p>
      <w:pPr>
        <w:pStyle w:val="Normal"/>
        <w:numPr>
          <w:ilvl w:val="0"/>
          <w:numId w:val="3"/>
        </w:numPr>
        <w:rPr/>
      </w:pPr>
      <w:r>
        <w:rPr/>
        <w:t xml:space="preserve">Direct Access is still available to retail customers.  Legislation passed in February 2001 (AB1X) requires the PUC to establish a date after which Direct Access would no longer be available.  The PUC has not yet established this date.  In a proposed decision issued June 28, 2001, the date was fixed at July 1, 2001.  That decision was delayed pending legislative attempts to address the viability of Direct Access.  On July 20, 2001, the legislature recessed for several weeks without reaching closure on this issue.  Draft legislation had referenced allowing Direct Access to continue, with payment of an exit fee to be determined by the PUC.  </w:t>
      </w:r>
    </w:p>
    <w:p>
      <w:pPr>
        <w:pStyle w:val="Normal"/>
        <w:rPr/>
      </w:pPr>
      <w:r>
        <w:rPr/>
      </w:r>
    </w:p>
    <w:p>
      <w:pPr>
        <w:pStyle w:val="Normal"/>
        <w:numPr>
          <w:ilvl w:val="0"/>
          <w:numId w:val="3"/>
        </w:numPr>
        <w:rPr/>
      </w:pPr>
      <w:r>
        <w:rPr/>
        <w:t>PG&amp;E and SCE have not paid PX credits to Enron and presumably other suppliers for some time.  PG&amp;E has relied on arguments that it is improper for them to pay credits directly to Enron.  (see below).  SCE has used financial stress as the cause.  The current estimate of PX receivables from the 2 utilities is approximately $500 million.</w:t>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t>LEGISLATIVE AND REGULATORY HISTORY OF CTC AND PX ISSUES</w:t>
      </w:r>
    </w:p>
    <w:p>
      <w:pPr>
        <w:pStyle w:val="Normal"/>
        <w:rPr/>
      </w:pPr>
      <w:r>
        <w:rPr/>
      </w:r>
    </w:p>
    <w:p>
      <w:pPr>
        <w:pStyle w:val="Normal"/>
        <w:rPr>
          <w:b/>
        </w:rPr>
      </w:pPr>
      <w:r>
        <w:rPr>
          <w:b/>
        </w:rPr>
        <w:t>September 1996 Legislation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AB1890 signed into law.  Establishes the Power Exchange.  Section 367 allows utilities the opportunity (but not the right) to recover certain generation-related costs that are expected to be uneconomic as a result of competitive market. Section 368 asks each utility to propose a “cost recovery plan.” This section freezes retail rates at June 1996 levels and sets forth the mechanism for collecting the uneconomic costs.  The mechanism adopted was from an MOU signed among PG&amp;E, major customer groups and IEP. The mechanism dictated that each customer’s bill would be capped at the frozen retail rate and the bill would comprise separate components, such as T, D, energy and “recovery of uneconomic costs.”  (These uneconomic costs were referred to as “competitive transition charges” or “CTC” in CPUC decisions implementing the MOU and the legislation.)  The legislation did not require the CPUC to determine the amount of uneconomic costs to recover until after they were collected.  Also, Section 368(b) specifies that the energy charge in each customer’s bill is a variable number and requires that the separation of each customer’s bill into components could create no cost shifting among customer classes. </w:t>
      </w:r>
    </w:p>
    <w:p>
      <w:pPr>
        <w:pStyle w:val="Normal"/>
        <w:ind w:hanging="720" w:start="720" w:end="0"/>
        <w:jc w:val="both"/>
        <w:rPr/>
      </w:pPr>
      <w:r>
        <w:rPr/>
      </w:r>
    </w:p>
    <w:p>
      <w:pPr>
        <w:pStyle w:val="Normal"/>
        <w:rPr>
          <w:b/>
        </w:rPr>
      </w:pPr>
      <w:r>
        <w:rPr>
          <w:b/>
        </w:rPr>
        <w:t xml:space="preserve">August 1, 1997 CPUC Decision (D. 98-08-056)  </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According to the decision, each UDC presented a method for the calculation of the PX energy charge (which was also to form the basis for the credit provided to direct access customers).  The Commission adopted the proposal presented by SCE which, according to the decision, was comprised of  (1) using the weighted average of the day-ahead and hour ahead prices, adjusted for administrative costs, settlements, ancillary services and congestion fees; (2) adding settlement costs to the PX energy charge in the following billing period; and (3) incorporating costs that are assigned to all scheduling coordinators into the PX energy charge.    </w:t>
      </w:r>
    </w:p>
    <w:p>
      <w:pPr>
        <w:pStyle w:val="Normal"/>
        <w:ind w:hanging="720" w:start="720" w:end="0"/>
        <w:jc w:val="both"/>
        <w:rPr/>
      </w:pPr>
      <w:r>
        <w:rPr/>
      </w:r>
    </w:p>
    <w:p>
      <w:pPr>
        <w:pStyle w:val="Normal"/>
        <w:ind w:hanging="720" w:start="720" w:end="0"/>
        <w:jc w:val="both"/>
        <w:rPr/>
      </w:pPr>
      <w:r>
        <w:rPr/>
        <w:tab/>
        <w:t xml:space="preserve">The Commission also adopted an averaged CTC rate for all customers by implementing an average, ex post, energy cost for utility service customers through the residual calculation of CTC. Averaging is to be done first on a weekly basis and then a rolling average of four weeks to cover the different monthly billing cycles for different customers.  The series of approximately one-month averages of PX energy costs is used to calculate residually the corresponding averaged CTC on a billing cycle basis.        </w:t>
      </w:r>
    </w:p>
    <w:p>
      <w:pPr>
        <w:pStyle w:val="Normal"/>
        <w:rPr>
          <w:b/>
        </w:rPr>
      </w:pPr>
      <w:r>
        <w:rPr>
          <w:b/>
        </w:rPr>
      </w:r>
    </w:p>
    <w:p>
      <w:pPr>
        <w:pStyle w:val="Normal"/>
        <w:rPr>
          <w:b/>
        </w:rPr>
      </w:pPr>
      <w:r>
        <w:rPr>
          <w:b/>
        </w:rPr>
        <w:t>August 15, 1997 PG&amp;E Advice Letter Filing In Compliance with Decision 97-08-056</w:t>
      </w:r>
    </w:p>
    <w:p>
      <w:pPr>
        <w:pStyle w:val="Normal"/>
        <w:rPr>
          <w:b/>
        </w:rPr>
      </w:pPr>
      <w:r>
        <w:rPr>
          <w:b/>
        </w:rPr>
      </w:r>
    </w:p>
    <w:p>
      <w:pPr>
        <w:pStyle w:val="Normal"/>
        <w:ind w:hanging="720" w:start="720" w:end="0"/>
        <w:jc w:val="both"/>
        <w:rPr/>
      </w:pPr>
      <w:r>
        <w:rPr>
          <w:rFonts w:eastAsia="Symbol" w:cs="Symbol" w:ascii="Symbol" w:hAnsi="Symbol"/>
        </w:rPr>
        <w:sym w:font="Symbol" w:char="f0b7"/>
      </w:r>
      <w:r>
        <w:rPr/>
        <w:tab/>
        <w:t>In its initial Advice Filing in compliance with Decision 97-08-056 (AL 1692-E) apparently PG&amp;E did not file detailed information regarding the development of the PX energy charge as required.</w:t>
      </w:r>
    </w:p>
    <w:p>
      <w:pPr>
        <w:pStyle w:val="Normal"/>
        <w:rPr/>
      </w:pPr>
      <w:r>
        <w:rPr/>
      </w:r>
    </w:p>
    <w:p>
      <w:pPr>
        <w:pStyle w:val="Normal"/>
        <w:ind w:hanging="720" w:start="720" w:end="0"/>
        <w:jc w:val="both"/>
        <w:rPr/>
      </w:pPr>
      <w:r>
        <w:rPr>
          <w:rFonts w:eastAsia="Symbol" w:cs="Symbol" w:ascii="Symbol" w:hAnsi="Symbol"/>
        </w:rPr>
        <w:sym w:font="Symbol" w:char="f0b7"/>
      </w:r>
      <w:r>
        <w:rPr/>
        <w:tab/>
        <w:t xml:space="preserve">In advice filing 1692 E-A (filed on September 10, 1997) PG&amp;E set forth Schedule PX.  In the filing, it stated that the PX cost used for billing will consists of the weighted average forward market cost plus real time market costs.  The total costs for service obtained through PX were defined to include, but not to be limited to: (a) energy, including inter-zonal congestion fees; (b) spinning reserves; (c) non-spinning reserve; (d) automatic generator control/regulation; (e) replacement reserve; (f) voltage support; (g) black start capability; (h) independent system operator; (i) PX administration costs.  </w:t>
      </w:r>
    </w:p>
    <w:p>
      <w:pPr>
        <w:pStyle w:val="Normal"/>
        <w:rPr/>
      </w:pPr>
      <w:r>
        <w:rPr/>
      </w:r>
    </w:p>
    <w:p>
      <w:pPr>
        <w:pStyle w:val="Normal"/>
        <w:ind w:start="720" w:end="0"/>
        <w:jc w:val="both"/>
        <w:rPr/>
      </w:pPr>
      <w:r>
        <w:rPr/>
        <w:t xml:space="preserve">Real time market costs were described as those incremental to hourly costs incurred for the purpose of acquiring power for PG&amp;E customers for the trading day.    </w:t>
      </w:r>
    </w:p>
    <w:p>
      <w:pPr>
        <w:pStyle w:val="Normal"/>
        <w:rPr/>
      </w:pPr>
      <w:r>
        <w:rPr/>
      </w:r>
    </w:p>
    <w:p>
      <w:pPr>
        <w:pStyle w:val="Normal"/>
        <w:ind w:start="720" w:end="0"/>
        <w:jc w:val="both"/>
        <w:rPr/>
      </w:pPr>
      <w:r>
        <w:rPr/>
        <w:t xml:space="preserve">The sum of the average of the hourly and real-time costs were adjusted for distribution loss factors. </w:t>
      </w:r>
    </w:p>
    <w:p>
      <w:pPr>
        <w:pStyle w:val="Normal"/>
        <w:jc w:val="both"/>
        <w:rPr/>
      </w:pPr>
      <w:r>
        <w:rPr/>
      </w:r>
    </w:p>
    <w:p>
      <w:pPr>
        <w:pStyle w:val="Normal"/>
        <w:rPr>
          <w:b/>
        </w:rPr>
      </w:pPr>
      <w:r>
        <w:rPr>
          <w:b/>
        </w:rPr>
        <w:t>August 18, 1997 SCE Advice Letter Filing In Compliance with Decision 97-08-056</w:t>
      </w:r>
    </w:p>
    <w:p>
      <w:pPr>
        <w:pStyle w:val="Normal"/>
        <w:rPr>
          <w:b/>
        </w:rPr>
      </w:pPr>
      <w:r>
        <w:rPr>
          <w:b/>
        </w:rPr>
      </w:r>
    </w:p>
    <w:p>
      <w:pPr>
        <w:pStyle w:val="Normal"/>
        <w:ind w:hanging="720" w:start="720" w:end="0"/>
        <w:jc w:val="both"/>
        <w:rPr/>
      </w:pPr>
      <w:r>
        <w:rPr>
          <w:rFonts w:eastAsia="Symbol" w:cs="Symbol" w:ascii="Symbol" w:hAnsi="Symbol"/>
        </w:rPr>
        <w:sym w:font="Symbol" w:char="f0b7"/>
      </w:r>
      <w:r>
        <w:rPr/>
        <w:tab/>
        <w:t>In Advice Filing 1245-E, in compliance with Decision 97-08-056, SCE set forth the derivation of its PX charge/credit as “the sum of the weighted average PX price paid by SCE for energy purchased in the day ahead and hour ahead energy markets, plus the cost of settlements for imbalance energy, plus uplift charges paid to the PX and ISO by SCE on behalf of its bundled service customers, as adjusted for distribution line loss factors.</w:t>
      </w:r>
    </w:p>
    <w:p>
      <w:pPr>
        <w:pStyle w:val="Normal"/>
        <w:rPr/>
      </w:pPr>
      <w:r>
        <w:rPr/>
        <w:t xml:space="preserve"> </w:t>
      </w:r>
    </w:p>
    <w:p>
      <w:pPr>
        <w:pStyle w:val="Normal"/>
        <w:rPr>
          <w:b/>
        </w:rPr>
      </w:pPr>
      <w:r>
        <w:rPr>
          <w:b/>
        </w:rPr>
        <w:t xml:space="preserve">December 16, 1997 Commission Resolution E-3510 </w:t>
      </w:r>
    </w:p>
    <w:p>
      <w:pPr>
        <w:pStyle w:val="Normal"/>
        <w:rPr>
          <w:b/>
          <w:u w:val="single"/>
        </w:rPr>
      </w:pPr>
      <w:r>
        <w:rPr>
          <w:b/>
          <w:u w:val="single"/>
        </w:rPr>
      </w:r>
    </w:p>
    <w:p>
      <w:pPr>
        <w:pStyle w:val="Normal"/>
        <w:ind w:hanging="720" w:start="720" w:end="0"/>
        <w:jc w:val="both"/>
        <w:rPr/>
      </w:pPr>
      <w:r>
        <w:rPr>
          <w:rFonts w:eastAsia="Symbol" w:cs="Symbol" w:ascii="Symbol" w:hAnsi="Symbol"/>
        </w:rPr>
        <w:sym w:font="Symbol" w:char="f0b7"/>
      </w:r>
      <w:r>
        <w:rPr/>
        <w:tab/>
        <w:t>The Commission approved PG&amp;E’s description (as contained in AL 1692-A) and SCE’s description (as contained in 1245-E) of the costs to be included in the PX charge/credit with the exception that PG&amp;E and SCE were directed to include an adder for uncollectibles.</w:t>
      </w:r>
    </w:p>
    <w:p>
      <w:pPr>
        <w:pStyle w:val="Normal"/>
        <w:rPr/>
      </w:pPr>
      <w:r>
        <w:rPr/>
      </w:r>
    </w:p>
    <w:p>
      <w:pPr>
        <w:pStyle w:val="Normal"/>
        <w:rPr>
          <w:b/>
        </w:rPr>
      </w:pPr>
      <w:r>
        <w:rPr>
          <w:b/>
        </w:rPr>
        <w:t>June 10, 1999 CPUC Decision  (D. 99-06-058)</w:t>
      </w:r>
    </w:p>
    <w:p>
      <w:pPr>
        <w:pStyle w:val="Normal"/>
        <w:rPr>
          <w:b/>
        </w:rPr>
      </w:pPr>
      <w:r>
        <w:rPr>
          <w:b/>
        </w:rPr>
      </w:r>
    </w:p>
    <w:p>
      <w:pPr>
        <w:pStyle w:val="Normal"/>
        <w:ind w:hanging="720" w:start="720" w:end="0"/>
        <w:jc w:val="both"/>
        <w:rPr/>
      </w:pPr>
      <w:r>
        <w:rPr>
          <w:rFonts w:eastAsia="Symbol" w:cs="Symbol" w:ascii="Symbol" w:hAnsi="Symbol"/>
        </w:rPr>
        <w:sym w:font="Symbol" w:char="f0b7"/>
      </w:r>
      <w:r>
        <w:rPr/>
        <w:tab/>
        <w:t>In this decision the Commission recognized certain additional costs of procurement should appropriately included in the PX credit but stated that no such costs are adequately specified in the record for the purpose of ratesetting and directed the UDCs to set forth the long run marginal costs of such procurement function in the next RAP filing.</w:t>
      </w:r>
    </w:p>
    <w:p>
      <w:pPr>
        <w:pStyle w:val="Normal"/>
        <w:jc w:val="both"/>
        <w:rPr/>
      </w:pPr>
      <w:r>
        <w:rPr/>
      </w:r>
    </w:p>
    <w:p>
      <w:pPr>
        <w:pStyle w:val="Normal"/>
        <w:ind w:start="720" w:end="0"/>
        <w:jc w:val="both"/>
        <w:rPr/>
      </w:pPr>
      <w:r>
        <w:rPr/>
        <w:t>This is also the Decision that approved the Stipulations between the various UDCs, Enron and the Western Power Trading Forum for elimination of the zero minimum bill for direct access customers.</w:t>
      </w:r>
    </w:p>
    <w:p>
      <w:pPr>
        <w:pStyle w:val="Normal"/>
        <w:jc w:val="both"/>
        <w:rPr/>
      </w:pPr>
      <w:r>
        <w:rPr/>
      </w:r>
    </w:p>
    <w:p>
      <w:pPr>
        <w:pStyle w:val="Normal"/>
        <w:jc w:val="both"/>
        <w:rPr>
          <w:b/>
        </w:rPr>
      </w:pPr>
      <w:r>
        <w:rPr>
          <w:b/>
        </w:rPr>
        <w:t>October-November, 2000 UDC Claims of Rate Freeze Termination</w:t>
      </w:r>
    </w:p>
    <w:p>
      <w:pPr>
        <w:pStyle w:val="Normal"/>
        <w:jc w:val="both"/>
        <w:rPr>
          <w:b/>
        </w:rPr>
      </w:pPr>
      <w:r>
        <w:rPr>
          <w:b/>
        </w:rPr>
      </w:r>
    </w:p>
    <w:p>
      <w:pPr>
        <w:pStyle w:val="Normal"/>
        <w:ind w:hanging="720" w:start="720" w:end="0"/>
        <w:jc w:val="both"/>
        <w:rPr/>
      </w:pPr>
      <w:r>
        <w:rPr>
          <w:rFonts w:eastAsia="Symbol" w:cs="Symbol" w:ascii="Symbol" w:hAnsi="Symbol"/>
          <w:b/>
        </w:rPr>
        <w:sym w:font="Symbol" w:char="f0b7"/>
      </w:r>
      <w:r>
        <w:rPr>
          <w:b/>
        </w:rPr>
        <w:tab/>
      </w:r>
      <w:r>
        <w:rPr/>
        <w:t xml:space="preserve">In a myriad of different filings made by SCE and PG&amp;E commencing in October of 2000, the UDCs claimed that their respective rate freezes had terminated. </w:t>
      </w:r>
      <w:r>
        <w:rPr>
          <w:b/>
        </w:rPr>
        <w:t xml:space="preserve"> </w:t>
      </w:r>
      <w:r>
        <w:rPr/>
        <w:t xml:space="preserve">PG&amp;E asserted that it may have terminated as early as May 2000, but the latest date was August 2000.  SCE made similar claims of an August 2000 termination. </w:t>
      </w:r>
    </w:p>
    <w:p>
      <w:pPr>
        <w:pStyle w:val="Normal"/>
        <w:jc w:val="both"/>
        <w:rPr/>
      </w:pPr>
      <w:r>
        <w:rPr/>
      </w:r>
    </w:p>
    <w:p>
      <w:pPr>
        <w:pStyle w:val="Normal"/>
        <w:rPr>
          <w:b/>
        </w:rPr>
      </w:pPr>
      <w:r>
        <w:rPr>
          <w:b/>
        </w:rPr>
        <w:t>January 4, 2001 CPUC Decision (D. 01-01-018)</w:t>
      </w:r>
    </w:p>
    <w:p>
      <w:pPr>
        <w:pStyle w:val="Normal"/>
        <w:rPr>
          <w:b/>
        </w:rPr>
      </w:pPr>
      <w:r>
        <w:rPr>
          <w:b/>
        </w:rPr>
      </w:r>
    </w:p>
    <w:p>
      <w:pPr>
        <w:pStyle w:val="Normal"/>
        <w:ind w:hanging="720" w:start="720" w:end="0"/>
        <w:jc w:val="both"/>
        <w:rPr/>
      </w:pPr>
      <w:r>
        <w:rPr>
          <w:rFonts w:eastAsia="Symbol" w:cs="Symbol" w:ascii="Symbol" w:hAnsi="Symbol"/>
        </w:rPr>
        <w:sym w:font="Symbol" w:char="f0b7"/>
      </w:r>
      <w:r>
        <w:rPr/>
        <w:tab/>
        <w:t>PG&amp;E and SCE shall establish an interim surcharge, subject to refund and adjustment.  The interim surcharge shall be established as the Emergency Procurement Surcharge (EPS) and shall be in place for 90 days from the effective date of this decision.  The EPS shall be applied to electricity rates and shall be applied on an equal-cents-per-kWh basis of one cent per kWh.</w:t>
      </w:r>
    </w:p>
    <w:p>
      <w:pPr>
        <w:pStyle w:val="Normal"/>
        <w:ind w:hanging="720" w:start="720" w:end="0"/>
        <w:jc w:val="both"/>
        <w:rPr/>
      </w:pPr>
      <w:r>
        <w:rPr/>
      </w:r>
    </w:p>
    <w:p>
      <w:pPr>
        <w:pStyle w:val="Normal"/>
        <w:jc w:val="both"/>
        <w:rPr>
          <w:b/>
        </w:rPr>
      </w:pPr>
      <w:r>
        <w:rPr>
          <w:b/>
        </w:rPr>
        <w:t>January 4, 2001 CPUC Decision (D. 01-01-019)</w:t>
      </w:r>
    </w:p>
    <w:p>
      <w:pPr>
        <w:pStyle w:val="Normal"/>
        <w:jc w:val="both"/>
        <w:rPr>
          <w:b/>
        </w:rPr>
      </w:pPr>
      <w:r>
        <w:rPr>
          <w:b/>
        </w:rPr>
      </w:r>
    </w:p>
    <w:p>
      <w:pPr>
        <w:pStyle w:val="Normal"/>
        <w:ind w:hanging="720" w:start="720" w:end="0"/>
        <w:jc w:val="both"/>
        <w:rPr/>
      </w:pPr>
      <w:r>
        <w:rPr>
          <w:rFonts w:eastAsia="Symbol" w:cs="Symbol" w:ascii="Symbol" w:hAnsi="Symbol"/>
        </w:rPr>
        <w:sym w:font="Symbol" w:char="f0b7"/>
      </w:r>
      <w:r>
        <w:rPr/>
        <w:tab/>
        <w:t xml:space="preserve">In this decision the Commission adopted a PX credit adder of .007 cents per kwh as representative of the UDCs’ long run marginal procurement costs.    </w:t>
      </w:r>
    </w:p>
    <w:p>
      <w:pPr>
        <w:pStyle w:val="Normal"/>
        <w:rPr/>
      </w:pPr>
      <w:r>
        <w:rPr/>
      </w:r>
    </w:p>
    <w:p>
      <w:pPr>
        <w:pStyle w:val="Normal"/>
        <w:rPr>
          <w:b/>
        </w:rPr>
      </w:pPr>
      <w:r>
        <w:rPr>
          <w:b/>
        </w:rPr>
        <w:t>February 1, 2001 Legislation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AB1X signed into law.  Establishes DWR’s obligation to purchase on behalf of utilities’ retail end use customers, and obligates CPUC to set rates that recover DWR’s revenue requirements.</w:t>
      </w:r>
    </w:p>
    <w:p>
      <w:pPr>
        <w:pStyle w:val="Normal"/>
        <w:rPr/>
      </w:pPr>
      <w:r>
        <w:rPr/>
      </w:r>
    </w:p>
    <w:p>
      <w:pPr>
        <w:pStyle w:val="Normal"/>
        <w:rPr>
          <w:b/>
        </w:rPr>
      </w:pPr>
      <w:r>
        <w:rPr>
          <w:b/>
        </w:rPr>
        <w:t>March 27, 2001 CPUC Decision (D. 01-03-082)</w:t>
      </w:r>
    </w:p>
    <w:p>
      <w:pPr>
        <w:pStyle w:val="Normal"/>
        <w:rPr>
          <w:b/>
        </w:rPr>
      </w:pPr>
      <w:r>
        <w:rPr>
          <w:b/>
        </w:rPr>
      </w:r>
    </w:p>
    <w:p>
      <w:pPr>
        <w:pStyle w:val="Normal"/>
        <w:ind w:hanging="720" w:start="720" w:end="0"/>
        <w:jc w:val="both"/>
        <w:rPr/>
      </w:pPr>
      <w:r>
        <w:rPr>
          <w:rFonts w:eastAsia="Symbol" w:cs="Symbol" w:ascii="Symbol" w:hAnsi="Symbol"/>
        </w:rPr>
        <w:sym w:font="Symbol" w:char="f0b7"/>
      </w:r>
      <w:r>
        <w:rPr/>
        <w:tab/>
        <w:t>Declare that the AB1890 Rate Freeze has not ended.  Uses the TURN Accounting Procedure to justify this conclusion.  TURN Accounting Procedure allowed netting of under-recovered and over-recovered transition costs.  Made permanent the one cent surcharge created with January 4, 2001 order.  Allowed new surcharge of three cents per kWh to take effect.  Actual billings for this surcharge began June 1, 2001.  Applies to PG&amp;E and SCE.</w:t>
      </w:r>
    </w:p>
    <w:p>
      <w:pPr>
        <w:pStyle w:val="Normal"/>
        <w:rPr/>
      </w:pPr>
      <w:r>
        <w:rPr/>
      </w:r>
    </w:p>
    <w:p>
      <w:pPr>
        <w:pStyle w:val="Normal"/>
        <w:rPr>
          <w:b/>
        </w:rPr>
      </w:pPr>
      <w:r>
        <w:rPr>
          <w:b/>
        </w:rPr>
        <w:t>April 5, 2001 SCE Advice Letter 1529-E</w:t>
      </w:r>
    </w:p>
    <w:p>
      <w:pPr>
        <w:pStyle w:val="Normal"/>
        <w:rPr>
          <w:b/>
        </w:rPr>
      </w:pPr>
      <w:r>
        <w:rPr>
          <w:b/>
        </w:rPr>
      </w:r>
    </w:p>
    <w:p>
      <w:pPr>
        <w:pStyle w:val="Normal"/>
        <w:ind w:hanging="720" w:start="720" w:end="0"/>
        <w:jc w:val="both"/>
        <w:rPr/>
      </w:pPr>
      <w:r>
        <w:rPr>
          <w:rFonts w:eastAsia="Symbol" w:cs="Symbol" w:ascii="Symbol" w:hAnsi="Symbol"/>
        </w:rPr>
        <w:sym w:font="Symbol" w:char="f0b7"/>
      </w:r>
      <w:r>
        <w:rPr/>
        <w:tab/>
        <w:t>SCE proposes to replace PX Credit with PE Credit (Procured Energy).  Sets PE Credit equal to the unbundled generation rate component.  Claims that “while the procured energy charge is set equal to the generation component, CTC shall be equal to zero.”  Filing has not been addressed by PUC.</w:t>
      </w:r>
    </w:p>
    <w:p>
      <w:pPr>
        <w:pStyle w:val="Normal"/>
        <w:rPr>
          <w:b/>
        </w:rPr>
      </w:pPr>
      <w:r>
        <w:rPr>
          <w:b/>
        </w:rPr>
      </w:r>
    </w:p>
    <w:p>
      <w:pPr>
        <w:pStyle w:val="Normal"/>
        <w:rPr>
          <w:b/>
        </w:rPr>
      </w:pPr>
      <w:r>
        <w:rPr>
          <w:b/>
        </w:rPr>
        <w:t>April 11, 2001 Legislation</w:t>
      </w:r>
    </w:p>
    <w:p>
      <w:pPr>
        <w:pStyle w:val="Normal"/>
        <w:rPr>
          <w:b/>
        </w:rPr>
      </w:pPr>
      <w:r>
        <w:rPr>
          <w:b/>
        </w:rPr>
      </w:r>
    </w:p>
    <w:p>
      <w:pPr>
        <w:pStyle w:val="Normal"/>
        <w:ind w:hanging="720" w:start="720" w:end="0"/>
        <w:jc w:val="both"/>
        <w:rPr>
          <w:b/>
        </w:rPr>
      </w:pPr>
      <w:r>
        <w:rPr>
          <w:rFonts w:eastAsia="Symbol" w:cs="Symbol" w:ascii="Symbol" w:hAnsi="Symbol"/>
        </w:rPr>
        <w:sym w:font="Symbol" w:char="f0b7"/>
      </w:r>
      <w:r>
        <w:rPr/>
        <w:tab/>
        <w:t xml:space="preserve">SB43X establishes a frozen rate of 6.5 cents per kWh for large commercial and industrial customers of SDG&amp;E, retroactive to February 7, 2001, through the period ending with the end of the rate freeze for PG&amp;E and SCE.  </w:t>
      </w:r>
    </w:p>
    <w:p>
      <w:pPr>
        <w:pStyle w:val="Normal"/>
        <w:ind w:hanging="720" w:start="720" w:end="0"/>
        <w:jc w:val="both"/>
        <w:rPr>
          <w:b/>
        </w:rPr>
      </w:pPr>
      <w:r>
        <w:rPr>
          <w:b/>
        </w:rPr>
      </w:r>
    </w:p>
    <w:p>
      <w:pPr>
        <w:pStyle w:val="Normal"/>
        <w:ind w:hanging="720" w:start="720" w:end="0"/>
        <w:jc w:val="both"/>
        <w:rPr>
          <w:b/>
        </w:rPr>
      </w:pPr>
      <w:r>
        <w:rPr>
          <w:b/>
        </w:rPr>
        <w:t>April 11, 2001 PG&amp;E Advice Letter 2101-E</w:t>
      </w:r>
    </w:p>
    <w:p>
      <w:pPr>
        <w:pStyle w:val="Normal"/>
        <w:ind w:hanging="720" w:start="720" w:end="0"/>
        <w:jc w:val="both"/>
        <w:rPr>
          <w:b/>
        </w:rPr>
      </w:pPr>
      <w:r>
        <w:rPr>
          <w:b/>
        </w:rPr>
      </w:r>
    </w:p>
    <w:p>
      <w:pPr>
        <w:pStyle w:val="Normal"/>
        <w:ind w:hanging="720" w:start="720" w:end="0"/>
        <w:jc w:val="both"/>
        <w:rPr/>
      </w:pPr>
      <w:r>
        <w:rPr>
          <w:rFonts w:eastAsia="Symbol" w:cs="Symbol" w:ascii="Symbol" w:hAnsi="Symbol"/>
          <w:b/>
        </w:rPr>
        <w:sym w:font="Symbol" w:char="f0b7"/>
      </w:r>
      <w:r>
        <w:rPr>
          <w:b/>
        </w:rPr>
        <w:tab/>
      </w:r>
      <w:r>
        <w:rPr/>
        <w:t xml:space="preserve">PG&amp;E proposes to replace the PX credit with credit derived from a newly proposed E-Gen Rate Schedule.  The credit would be comprised of the costs of PG&amp;E’s retained generation and the costs of  DWR purchases.    </w:t>
      </w:r>
    </w:p>
    <w:p>
      <w:pPr>
        <w:pStyle w:val="Normal"/>
        <w:rPr/>
      </w:pPr>
      <w:r>
        <w:rPr/>
      </w:r>
    </w:p>
    <w:p>
      <w:pPr>
        <w:pStyle w:val="Normal"/>
        <w:rPr>
          <w:b/>
        </w:rPr>
      </w:pPr>
      <w:r>
        <w:rPr>
          <w:b/>
        </w:rPr>
        <w:t>May 15, 2001 CPUC Order (D. 01-05-064)</w:t>
      </w:r>
    </w:p>
    <w:p>
      <w:pPr>
        <w:pStyle w:val="Normal"/>
        <w:rPr>
          <w:b/>
        </w:rPr>
      </w:pPr>
      <w:r>
        <w:rPr>
          <w:b/>
        </w:rPr>
      </w:r>
    </w:p>
    <w:p>
      <w:pPr>
        <w:pStyle w:val="Normal"/>
        <w:ind w:hanging="720" w:start="720" w:end="0"/>
        <w:jc w:val="both"/>
        <w:rPr/>
      </w:pPr>
      <w:r>
        <w:rPr>
          <w:rFonts w:eastAsia="Symbol" w:cs="Symbol" w:ascii="Symbol" w:hAnsi="Symbol"/>
        </w:rPr>
        <w:sym w:font="Symbol" w:char="f0b7"/>
      </w:r>
      <w:r>
        <w:rPr/>
        <w:tab/>
        <w:t>Adopts a rate design for implementing the three-cent surcharge approved in the March 27 order.  Rules that direct access customers do not pay the three-cent surcharge.</w:t>
      </w:r>
    </w:p>
    <w:p>
      <w:pPr>
        <w:pStyle w:val="Normal"/>
        <w:rPr/>
      </w:pPr>
      <w:r>
        <w:rPr/>
      </w:r>
    </w:p>
    <w:p>
      <w:pPr>
        <w:pStyle w:val="Normal"/>
        <w:rPr>
          <w:b/>
        </w:rPr>
      </w:pPr>
      <w:r>
        <w:rPr>
          <w:b/>
        </w:rPr>
        <w:t>May 22, 2001 SCE Advice Letter 1545-E</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Tariff filing to implement the three-cent surcharge.  PG&amp;E restricts the exemption for direct access customers to the three-cent surcharge.  The one-cent surcharge is paid by all customers.  </w:t>
      </w:r>
    </w:p>
    <w:p>
      <w:pPr>
        <w:pStyle w:val="Normal"/>
        <w:rPr/>
      </w:pPr>
      <w:r>
        <w:rPr/>
      </w:r>
    </w:p>
    <w:p>
      <w:pPr>
        <w:pStyle w:val="Normal"/>
        <w:rPr>
          <w:b/>
        </w:rPr>
      </w:pPr>
      <w:r>
        <w:rPr>
          <w:b/>
        </w:rPr>
        <w:t>May 22, 2001 PG&amp;E Advice Letter 2119-E</w:t>
      </w:r>
    </w:p>
    <w:p>
      <w:pPr>
        <w:pStyle w:val="Normal"/>
        <w:rPr>
          <w:b/>
        </w:rPr>
      </w:pPr>
      <w:r>
        <w:rPr>
          <w:b/>
        </w:rPr>
      </w:r>
    </w:p>
    <w:p>
      <w:pPr>
        <w:pStyle w:val="Normal"/>
        <w:rPr/>
      </w:pPr>
      <w:r>
        <w:rPr>
          <w:rFonts w:eastAsia="Symbol" w:cs="Symbol" w:ascii="Symbol" w:hAnsi="Symbol"/>
        </w:rPr>
        <w:sym w:font="Symbol" w:char="f0b7"/>
      </w:r>
      <w:r>
        <w:rPr/>
        <w:tab/>
        <w:t>PG&amp;E Advice Letter to implement three-cent surcharge.</w:t>
      </w:r>
    </w:p>
    <w:p>
      <w:pPr>
        <w:pStyle w:val="Normal"/>
        <w:rPr/>
      </w:pPr>
      <w:r>
        <w:rPr/>
      </w:r>
    </w:p>
    <w:p>
      <w:pPr>
        <w:pStyle w:val="Normal"/>
        <w:rPr>
          <w:b/>
        </w:rPr>
      </w:pPr>
      <w:r>
        <w:rPr>
          <w:b/>
        </w:rPr>
        <w:t>June 15, 2001 ALJ Ruling</w:t>
      </w:r>
    </w:p>
    <w:p>
      <w:pPr>
        <w:pStyle w:val="Normal"/>
        <w:rPr>
          <w:b/>
        </w:rPr>
      </w:pPr>
      <w:r>
        <w:rPr>
          <w:b/>
        </w:rPr>
      </w:r>
    </w:p>
    <w:p>
      <w:pPr>
        <w:pStyle w:val="Normal"/>
        <w:ind w:hanging="720" w:start="720" w:end="0"/>
        <w:jc w:val="both"/>
        <w:rPr/>
      </w:pPr>
      <w:r>
        <w:rPr>
          <w:rFonts w:eastAsia="Symbol" w:cs="Symbol" w:ascii="Symbol" w:hAnsi="Symbol"/>
        </w:rPr>
        <w:sym w:font="Symbol" w:char="f0b7"/>
      </w:r>
      <w:r>
        <w:rPr/>
        <w:tab/>
        <w:t>Directs PG&amp;E, SCE, and SDG&amp;E to develop cost based rates for utility retained generation and sets a schedule for hearings.</w:t>
      </w:r>
    </w:p>
    <w:p>
      <w:pPr>
        <w:pStyle w:val="Normal"/>
        <w:ind w:hanging="720" w:start="720" w:end="0"/>
        <w:jc w:val="both"/>
        <w:rPr/>
      </w:pPr>
      <w:r>
        <w:rPr/>
      </w:r>
    </w:p>
    <w:p>
      <w:pPr>
        <w:pStyle w:val="Normal"/>
        <w:rPr/>
      </w:pPr>
      <w:r>
        <w:rPr>
          <w:b/>
        </w:rPr>
        <w:t xml:space="preserve">June 15, 2001 CPUC </w:t>
      </w:r>
      <w:r>
        <w:rPr>
          <w:b/>
          <w:u w:val="single"/>
        </w:rPr>
        <w:t>Proposed</w:t>
      </w:r>
      <w:r>
        <w:rPr>
          <w:b/>
        </w:rPr>
        <w:t xml:space="preserve"> Decision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 xml:space="preserve">This order has not been voted out.  Would grant SCE’s petition to stop making  payments to direct access customers to satisfy the PX Credit. In addition the proposed decision went beyond the relief requested in SCE’s petition by ruling that the Stipulation which eliminated the direct access minimum bill did not required the payment of any PX credit amounts owing in cash.  The proposed decision also would have suspended direct access effective July 1, 2001 except for written contracts executed prior to July 1, 2001.  </w:t>
      </w:r>
    </w:p>
    <w:p>
      <w:pPr>
        <w:pStyle w:val="Normal"/>
        <w:ind w:hanging="720" w:start="720" w:end="0"/>
        <w:jc w:val="both"/>
        <w:rPr/>
      </w:pPr>
      <w:r>
        <w:rPr/>
      </w:r>
    </w:p>
    <w:p>
      <w:pPr>
        <w:pStyle w:val="Normal"/>
        <w:rPr>
          <w:b/>
        </w:rPr>
      </w:pPr>
      <w:r>
        <w:rPr>
          <w:b/>
        </w:rPr>
        <w:t>June 19, 2001 SCE Letter to CPUC Energy Division</w:t>
      </w:r>
    </w:p>
    <w:p>
      <w:pPr>
        <w:pStyle w:val="Normal"/>
        <w:rPr>
          <w:b/>
        </w:rPr>
      </w:pPr>
      <w:r>
        <w:rPr>
          <w:b/>
        </w:rPr>
      </w:r>
    </w:p>
    <w:p>
      <w:pPr>
        <w:pStyle w:val="Normal"/>
        <w:ind w:hanging="720" w:start="720" w:end="0"/>
        <w:jc w:val="both"/>
        <w:rPr/>
      </w:pPr>
      <w:r>
        <w:rPr>
          <w:rFonts w:eastAsia="Symbol" w:cs="Symbol" w:ascii="Symbol" w:hAnsi="Symbol"/>
        </w:rPr>
        <w:sym w:font="Symbol" w:char="f0b7"/>
      </w:r>
      <w:r>
        <w:rPr/>
        <w:tab/>
        <w:t>SCE claims to be exempting direct access customers from both the three-cent and one-cent surcharge.  SCE says it is “not entirely sure whether the Commission intends to exempt the DA customers from the one-cent per kWh surcharge and has previously requested Energy Division’s opinion on this matter.”</w:t>
      </w:r>
    </w:p>
    <w:p>
      <w:pPr>
        <w:pStyle w:val="Normal"/>
        <w:rPr/>
      </w:pPr>
      <w:r>
        <w:rPr/>
      </w:r>
    </w:p>
    <w:p>
      <w:pPr>
        <w:pStyle w:val="Normal"/>
        <w:rPr>
          <w:b/>
        </w:rPr>
      </w:pPr>
      <w:r>
        <w:rPr>
          <w:b/>
        </w:rPr>
        <w:t>July 18, 2001 ALJ Ruling.</w:t>
      </w:r>
    </w:p>
    <w:p>
      <w:pPr>
        <w:pStyle w:val="Normal"/>
        <w:rPr>
          <w:b/>
        </w:rPr>
      </w:pPr>
      <w:r>
        <w:rPr>
          <w:b/>
        </w:rPr>
      </w:r>
    </w:p>
    <w:p>
      <w:pPr>
        <w:pStyle w:val="Normal"/>
        <w:ind w:hanging="720" w:start="720" w:end="0"/>
        <w:jc w:val="both"/>
        <w:rPr/>
      </w:pPr>
      <w:r>
        <w:rPr>
          <w:rFonts w:eastAsia="Symbol" w:cs="Symbol" w:ascii="Symbol" w:hAnsi="Symbol"/>
        </w:rPr>
        <w:sym w:font="Symbol" w:char="f0b7"/>
      </w:r>
      <w:r>
        <w:rPr/>
        <w:tab/>
        <w:t>Requests comments on draft rate agreement between PUC and DWR.  Agreement establishes mechanism that will provide for payment to DWR of its revenue requirements.</w:t>
      </w:r>
    </w:p>
    <w:p>
      <w:pPr>
        <w:pStyle w:val="Normal"/>
        <w:rPr/>
      </w:pPr>
      <w:r>
        <w:rPr/>
      </w:r>
    </w:p>
    <w:p>
      <w:pPr>
        <w:pStyle w:val="Normal"/>
        <w:rPr>
          <w:b/>
        </w:rPr>
      </w:pPr>
      <w:r>
        <w:rPr>
          <w:b/>
        </w:rPr>
        <w:t>July 23, 2001 DWR Letter to CPUC</w:t>
      </w:r>
    </w:p>
    <w:p>
      <w:pPr>
        <w:pStyle w:val="Normal"/>
        <w:rPr/>
      </w:pPr>
      <w:r>
        <w:rPr/>
        <w:tab/>
      </w:r>
    </w:p>
    <w:p>
      <w:pPr>
        <w:pStyle w:val="Normal"/>
        <w:ind w:hanging="720" w:start="720" w:end="0"/>
        <w:jc w:val="both"/>
        <w:rPr/>
      </w:pPr>
      <w:r>
        <w:rPr>
          <w:rFonts w:eastAsia="Symbol" w:cs="Symbol" w:ascii="Symbol" w:hAnsi="Symbol"/>
        </w:rPr>
        <w:sym w:font="Symbol" w:char="f0b7"/>
      </w:r>
      <w:r>
        <w:rPr/>
        <w:tab/>
        <w:t>Presents DWR revenue requirements for period of January 17, 2001 through December 31, 2002.  Revenue requirement is divided among the three UDCs as follows:  PG&amp;E – $5.2 billion, SCE – $5.8 billion, SDG&amp;E – $2.1 billion.  Claims the revenue requirements are just and reasonable, as required for pass-through by law.</w:t>
      </w:r>
    </w:p>
    <w:p>
      <w:pPr>
        <w:pStyle w:val="Normal"/>
        <w:rPr/>
      </w:pPr>
      <w:r>
        <w:rPr/>
      </w:r>
    </w:p>
    <w:p>
      <w:pPr>
        <w:pStyle w:val="Normal"/>
        <w:rPr>
          <w:b/>
        </w:rPr>
      </w:pPr>
      <w:r>
        <w:rPr>
          <w:b/>
        </w:rPr>
        <w:t>July 24, 2001 Assigned Commissioner’s Ruling and July 25 ALJ Ruling</w:t>
      </w:r>
    </w:p>
    <w:p>
      <w:pPr>
        <w:pStyle w:val="Normal"/>
        <w:rPr>
          <w:b/>
        </w:rPr>
      </w:pPr>
      <w:r>
        <w:rPr>
          <w:b/>
        </w:rPr>
      </w:r>
    </w:p>
    <w:p>
      <w:pPr>
        <w:pStyle w:val="Normal"/>
        <w:ind w:hanging="720" w:start="720" w:end="0"/>
        <w:jc w:val="both"/>
        <w:rPr/>
      </w:pPr>
      <w:r>
        <w:rPr>
          <w:rFonts w:eastAsia="Symbol" w:cs="Symbol" w:ascii="Symbol" w:hAnsi="Symbol"/>
        </w:rPr>
        <w:sym w:font="Symbol" w:char="f0b7"/>
      </w:r>
      <w:r>
        <w:rPr/>
        <w:tab/>
        <w:t>Requests comments, due August 3, 2001, on DWR’s revenue requirements for PG&amp;E and SCE.  PUC will vote on DWR revenue requirements on August 23, 2001 and on a potential rate increase for SDG&amp;E comparable to the three-cent surcharge approved for PG&amp;E and SCE on March 27,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Heading2"/>
        <w:ind w:hanging="0" w:start="0"/>
        <w:rPr/>
      </w:pPr>
      <w:r>
        <w:rPr/>
        <w:t>SUMMARY OF PG&amp;E PX CORRESPONDENCE WITH ENRON</w:t>
      </w:r>
    </w:p>
    <w:p>
      <w:pPr>
        <w:pStyle w:val="Normal"/>
        <w:rPr/>
      </w:pPr>
      <w:r>
        <w:rPr/>
      </w:r>
    </w:p>
    <w:p>
      <w:pPr>
        <w:pStyle w:val="Normal"/>
        <w:rPr/>
      </w:pPr>
      <w:r>
        <w:rPr/>
        <w:t>PX Credits – General Thoughts:</w:t>
      </w:r>
    </w:p>
    <w:p>
      <w:pPr>
        <w:pStyle w:val="Normal"/>
        <w:rPr/>
      </w:pPr>
      <w:r>
        <w:rPr/>
        <w:t xml:space="preserve">PX amount became negative as early as May 2000  </w:t>
      </w:r>
    </w:p>
    <w:p>
      <w:pPr>
        <w:pStyle w:val="Normal"/>
        <w:rPr/>
      </w:pPr>
      <w:r>
        <w:rPr/>
        <w:t>EES purchased the EEMC book from PG&amp;E effective as of June 1, 2000</w:t>
      </w:r>
    </w:p>
    <w:p>
      <w:pPr>
        <w:pStyle w:val="Normal"/>
        <w:rPr/>
      </w:pPr>
      <w:r>
        <w:rPr/>
        <w:t>EES began active collection of these amounts in early October 2000</w:t>
      </w:r>
    </w:p>
    <w:p>
      <w:pPr>
        <w:pStyle w:val="Normal"/>
        <w:rPr/>
      </w:pPr>
      <w:r>
        <w:rPr/>
      </w:r>
    </w:p>
    <w:p>
      <w:pPr>
        <w:pStyle w:val="Heading1"/>
        <w:ind w:hanging="0" w:start="0"/>
        <w:rPr/>
      </w:pPr>
      <w:r>
        <w:rPr/>
        <w:t>Summary of Correspondence</w:t>
      </w:r>
    </w:p>
    <w:p>
      <w:pPr>
        <w:pStyle w:val="Normal"/>
        <w:rPr/>
      </w:pPr>
      <w:r>
        <w:rPr/>
      </w:r>
    </w:p>
    <w:p>
      <w:pPr>
        <w:pStyle w:val="Normal"/>
        <w:rPr/>
      </w:pPr>
      <w:r>
        <w:rPr/>
      </w:r>
    </w:p>
    <w:p>
      <w:pPr>
        <w:pStyle w:val="Normal"/>
        <w:rPr/>
      </w:pPr>
      <w:r>
        <w:rPr>
          <w:b/>
        </w:rPr>
        <w:t>October 24</w:t>
      </w:r>
      <w:r>
        <w:rPr>
          <w:b/>
          <w:vertAlign w:val="superscript"/>
        </w:rPr>
        <w:t>th</w:t>
      </w:r>
      <w:r>
        <w:rPr>
          <w:b/>
        </w:rPr>
        <w:t>, 2000</w:t>
      </w:r>
    </w:p>
    <w:p>
      <w:pPr>
        <w:pStyle w:val="Normal"/>
        <w:rPr>
          <w:b/>
        </w:rPr>
      </w:pPr>
      <w:r>
        <w:rPr>
          <w:b/>
        </w:rPr>
        <w:t>PG&amp;E letter to Dennis Benevides</w:t>
      </w:r>
    </w:p>
    <w:p>
      <w:pPr>
        <w:pStyle w:val="Normal"/>
        <w:rPr>
          <w:b/>
        </w:rPr>
      </w:pPr>
      <w:r>
        <w:rPr>
          <w:b/>
        </w:rPr>
        <w:t>Enron Energy Marketing Corp</w:t>
      </w:r>
    </w:p>
    <w:p>
      <w:pPr>
        <w:pStyle w:val="Normal"/>
        <w:rPr>
          <w:b/>
        </w:rPr>
      </w:pPr>
      <w:r>
        <w:rPr>
          <w:b/>
        </w:rPr>
      </w:r>
    </w:p>
    <w:p>
      <w:pPr>
        <w:pStyle w:val="Normal"/>
        <w:rPr/>
      </w:pPr>
      <w:r>
        <w:rPr/>
        <w:t xml:space="preserve">Subject: </w:t>
      </w:r>
    </w:p>
    <w:p>
      <w:pPr>
        <w:pStyle w:val="Normal"/>
        <w:rPr/>
      </w:pPr>
      <w:r>
        <w:rPr/>
        <w:t xml:space="preserve"> </w:t>
      </w:r>
      <w:r>
        <w:rPr/>
        <w:t>Response to Enron’s request for payment of the net residual credits on utility bills</w:t>
      </w:r>
    </w:p>
    <w:p>
      <w:pPr>
        <w:pStyle w:val="Normal"/>
        <w:rPr/>
      </w:pPr>
      <w:r>
        <w:rPr/>
      </w:r>
    </w:p>
    <w:p>
      <w:pPr>
        <w:pStyle w:val="Normal"/>
        <w:rPr/>
      </w:pPr>
      <w:r>
        <w:rPr/>
        <w:t>Narrative:</w:t>
      </w:r>
    </w:p>
    <w:p>
      <w:pPr>
        <w:pStyle w:val="Normal"/>
        <w:rPr/>
      </w:pPr>
      <w:r>
        <w:rPr/>
        <w:t>PG&amp;E believes “the credits belong to the direct access customers and not to their ESPs. Accordingly, the credits on recent bills should be used to offset future utility charges, and not paid out to ESPs.”</w:t>
      </w:r>
    </w:p>
    <w:p>
      <w:pPr>
        <w:pStyle w:val="Normal"/>
        <w:rPr/>
      </w:pPr>
      <w:r>
        <w:rPr/>
      </w:r>
    </w:p>
    <w:p>
      <w:pPr>
        <w:pStyle w:val="Normal"/>
        <w:rPr/>
      </w:pPr>
      <w:r>
        <w:rPr/>
        <w:t>Request:</w:t>
      </w:r>
    </w:p>
    <w:p>
      <w:pPr>
        <w:pStyle w:val="Normal"/>
        <w:rPr/>
      </w:pPr>
      <w:r>
        <w:rPr/>
        <w:t>PG&amp;E requested EES demonstrate how the payment being requested will be flowed through to the benefit of EES’s customers.  They stated, “if Enron Energy Marketing can demonstrate how the payment being requested will be flowed through to the benefit of Enron Energy Marketing’s customers, our Company will issue the requested payment.</w:t>
      </w:r>
    </w:p>
    <w:p>
      <w:pPr>
        <w:pStyle w:val="Normal"/>
        <w:rPr/>
      </w:pPr>
      <w:r>
        <w:rPr/>
      </w:r>
    </w:p>
    <w:p>
      <w:pPr>
        <w:pStyle w:val="Normal"/>
        <w:rPr/>
      </w:pPr>
      <w:r>
        <w:rPr/>
      </w:r>
    </w:p>
    <w:p>
      <w:pPr>
        <w:pStyle w:val="Normal"/>
        <w:rPr/>
      </w:pPr>
      <w:r>
        <w:rPr>
          <w:b/>
        </w:rPr>
        <w:t>November 14</w:t>
      </w:r>
      <w:r>
        <w:rPr>
          <w:b/>
          <w:vertAlign w:val="superscript"/>
        </w:rPr>
        <w:t>th</w:t>
      </w:r>
      <w:r>
        <w:rPr>
          <w:b/>
        </w:rPr>
        <w:t>, 2000</w:t>
      </w:r>
    </w:p>
    <w:p>
      <w:pPr>
        <w:pStyle w:val="Normal"/>
        <w:rPr>
          <w:b/>
        </w:rPr>
      </w:pPr>
      <w:r>
        <w:rPr>
          <w:b/>
        </w:rPr>
        <w:t>PG&amp;E letter to Michael B. Day</w:t>
      </w:r>
    </w:p>
    <w:p>
      <w:pPr>
        <w:pStyle w:val="Normal"/>
        <w:rPr>
          <w:b/>
        </w:rPr>
      </w:pPr>
      <w:r>
        <w:rPr>
          <w:b/>
        </w:rPr>
        <w:t>Goodin, MacBride, Squeri, Ritchie &amp; Day, LLP</w:t>
      </w:r>
    </w:p>
    <w:p>
      <w:pPr>
        <w:pStyle w:val="Normal"/>
        <w:rPr>
          <w:b/>
        </w:rPr>
      </w:pPr>
      <w:r>
        <w:rPr>
          <w:b/>
        </w:rPr>
      </w:r>
    </w:p>
    <w:p>
      <w:pPr>
        <w:pStyle w:val="Normal"/>
        <w:rPr/>
      </w:pPr>
      <w:r>
        <w:rPr/>
        <w:t>Subject:</w:t>
      </w:r>
    </w:p>
    <w:p>
      <w:pPr>
        <w:pStyle w:val="Normal"/>
        <w:rPr/>
      </w:pPr>
      <w:r>
        <w:rPr/>
        <w:t>Summarize the present status of PG&amp;E’s discussions with Enron regarding a resolution of PG&amp;E’s request for certain assurances as set forth in PG&amp;E’s October 24</w:t>
      </w:r>
      <w:r>
        <w:rPr>
          <w:vertAlign w:val="superscript"/>
        </w:rPr>
        <w:t>th</w:t>
      </w:r>
      <w:r>
        <w:rPr/>
        <w:t>, 2000 letter to Enron.</w:t>
      </w:r>
    </w:p>
    <w:p>
      <w:pPr>
        <w:pStyle w:val="Normal"/>
        <w:rPr/>
      </w:pPr>
      <w:r>
        <w:rPr/>
      </w:r>
    </w:p>
    <w:p>
      <w:pPr>
        <w:pStyle w:val="Normal"/>
        <w:rPr/>
      </w:pPr>
      <w:r>
        <w:rPr/>
        <w:t>Narrative:</w:t>
      </w:r>
    </w:p>
    <w:p>
      <w:pPr>
        <w:pStyle w:val="Normal"/>
        <w:rPr/>
      </w:pPr>
      <w:r>
        <w:rPr/>
        <w:t xml:space="preserve">Reference was made to two calls with PG&amp;E regarding the kinds of assurances that PG&amp;E was seeking and the suggested wording for a letter.  </w:t>
      </w:r>
    </w:p>
    <w:p>
      <w:pPr>
        <w:pStyle w:val="Normal"/>
        <w:rPr/>
      </w:pPr>
      <w:r>
        <w:rPr/>
      </w:r>
    </w:p>
    <w:p>
      <w:pPr>
        <w:pStyle w:val="Normal"/>
        <w:rPr/>
      </w:pPr>
      <w:r>
        <w:rPr/>
        <w:t>Notification:</w:t>
      </w:r>
    </w:p>
    <w:p>
      <w:pPr>
        <w:pStyle w:val="Normal"/>
        <w:rPr/>
      </w:pPr>
      <w:r>
        <w:rPr/>
        <w:t>“</w:t>
      </w:r>
      <w:r>
        <w:rPr/>
        <w:t>Since Enron is not the only ESP that has challenged PG&amp;E’s policy on releasing the accumulated credits of direct access customers, PG&amp;E has taken the step of filing a petition for modification with the CPUC (attached).  This document was filed on November 9, 2000 and will hopefully clarify this issue.  Pending resolution of the petition, we will continue with our current policy, and we hope Enron will cooperate in the interim.”</w:t>
      </w:r>
    </w:p>
    <w:p>
      <w:pPr>
        <w:pStyle w:val="Normal"/>
        <w:rPr/>
      </w:pPr>
      <w:r>
        <w:rPr/>
      </w:r>
    </w:p>
    <w:p>
      <w:pPr>
        <w:pStyle w:val="Normal"/>
        <w:rPr/>
      </w:pPr>
      <w:r>
        <w:rPr/>
      </w:r>
    </w:p>
    <w:p>
      <w:pPr>
        <w:pStyle w:val="Normal"/>
        <w:rPr>
          <w:b/>
        </w:rPr>
      </w:pPr>
      <w:r>
        <w:rPr>
          <w:b/>
        </w:rPr>
        <w:t>December 4, 2000</w:t>
      </w:r>
    </w:p>
    <w:p>
      <w:pPr>
        <w:pStyle w:val="Normal"/>
        <w:rPr>
          <w:b/>
        </w:rPr>
      </w:pPr>
      <w:r>
        <w:rPr>
          <w:b/>
        </w:rPr>
        <w:t>Enron Energy Services letter to PG&amp;E</w:t>
      </w:r>
    </w:p>
    <w:p>
      <w:pPr>
        <w:pStyle w:val="Normal"/>
        <w:rPr>
          <w:b/>
        </w:rPr>
      </w:pPr>
      <w:r>
        <w:rPr>
          <w:b/>
        </w:rPr>
        <w:t>Peter Ouborg, Esq.</w:t>
      </w:r>
    </w:p>
    <w:p>
      <w:pPr>
        <w:pStyle w:val="Normal"/>
        <w:rPr>
          <w:b/>
        </w:rPr>
      </w:pPr>
      <w:r>
        <w:rPr>
          <w:b/>
        </w:rPr>
      </w:r>
    </w:p>
    <w:p>
      <w:pPr>
        <w:pStyle w:val="Normal"/>
        <w:rPr/>
      </w:pPr>
      <w:r>
        <w:rPr/>
        <w:t>Subject:</w:t>
      </w:r>
    </w:p>
    <w:p>
      <w:pPr>
        <w:pStyle w:val="BodyText"/>
        <w:rPr/>
      </w:pPr>
      <w:r>
        <w:rPr/>
        <w:t>Commencement of Payments by PG&amp;E to Enron Energy Services, Inc. and Enron Energy Marketing Corp. (collectively, “Enron” for Negative CTC Charges</w:t>
      </w:r>
    </w:p>
    <w:p>
      <w:pPr>
        <w:pStyle w:val="BodyText"/>
        <w:rPr/>
      </w:pPr>
      <w:r>
        <w:rPr/>
      </w:r>
    </w:p>
    <w:p>
      <w:pPr>
        <w:pStyle w:val="BodyText"/>
        <w:rPr>
          <w:b/>
          <w:i/>
          <w:i/>
          <w:u w:val="none"/>
        </w:rPr>
      </w:pPr>
      <w:r>
        <w:rPr>
          <w:u w:val="none"/>
        </w:rPr>
        <w:t>The formal response to PG&amp;E’s October 24, 2000 letter to Enron Energy Marketing Corp. and subsequent electronic correspondence from PG&amp;E on November 8, 2000 in which PG&amp;E requests certain information as a condition to releasing to Enron payment for the accumulated negative CTC charges that have been billed to Enron’s direct access customers over the last five months.</w:t>
      </w:r>
    </w:p>
    <w:p>
      <w:pPr>
        <w:pStyle w:val="BodyText"/>
        <w:rPr>
          <w:b/>
          <w:i/>
          <w:i/>
          <w:u w:val="none"/>
        </w:rPr>
      </w:pPr>
      <w:r>
        <w:rPr>
          <w:b/>
          <w:i/>
          <w:u w:val="none"/>
        </w:rPr>
      </w:r>
    </w:p>
    <w:p>
      <w:pPr>
        <w:pStyle w:val="BodyText"/>
        <w:rPr>
          <w:u w:val="none"/>
        </w:rPr>
      </w:pPr>
      <w:r>
        <w:rPr>
          <w:u w:val="none"/>
        </w:rPr>
        <w:t>Narrative:</w:t>
      </w:r>
    </w:p>
    <w:p>
      <w:pPr>
        <w:pStyle w:val="BodyText"/>
        <w:rPr>
          <w:u w:val="none"/>
        </w:rPr>
      </w:pPr>
      <w:r>
        <w:rPr>
          <w:u w:val="none"/>
        </w:rPr>
        <w:t xml:space="preserve">Enron contends this letter “provides the representations and assurances requested by you in your November 8, 2000 e-mail”.   And further states, “ we anticipate that PG&amp;E will immediately commence the process of making payment to Enron for the negative charges which have been the result of high Power Exchange prices and the accumulation of so-called “negative CTC”.  </w:t>
      </w:r>
    </w:p>
    <w:p>
      <w:pPr>
        <w:pStyle w:val="BodyText"/>
        <w:rPr>
          <w:u w:val="none"/>
        </w:rPr>
      </w:pPr>
      <w:r>
        <w:rPr>
          <w:u w:val="none"/>
        </w:rPr>
      </w:r>
    </w:p>
    <w:p>
      <w:pPr>
        <w:pStyle w:val="BodyText"/>
        <w:rPr>
          <w:u w:val="none"/>
        </w:rPr>
      </w:pPr>
      <w:r>
        <w:rPr>
          <w:u w:val="none"/>
        </w:rPr>
        <w:t>Request:</w:t>
      </w:r>
    </w:p>
    <w:p>
      <w:pPr>
        <w:pStyle w:val="BodyText"/>
        <w:rPr>
          <w:u w:val="none"/>
        </w:rPr>
      </w:pPr>
      <w:r>
        <w:rPr>
          <w:u w:val="none"/>
        </w:rPr>
        <w:t xml:space="preserve">Enron expects PG&amp;E to commence immediate payment of the negative charges, including any additional negative charges that may become payable in the future.  </w:t>
      </w:r>
    </w:p>
    <w:p>
      <w:pPr>
        <w:pStyle w:val="BodyText"/>
        <w:rPr>
          <w:u w:val="none"/>
        </w:rPr>
      </w:pPr>
      <w:r>
        <w:rPr>
          <w:u w:val="none"/>
        </w:rPr>
      </w:r>
    </w:p>
    <w:p>
      <w:pPr>
        <w:pStyle w:val="BodyText"/>
        <w:rPr>
          <w:u w:val="none"/>
        </w:rPr>
      </w:pPr>
      <w:r>
        <w:rPr>
          <w:u w:val="none"/>
        </w:rPr>
      </w:r>
    </w:p>
    <w:p>
      <w:pPr>
        <w:pStyle w:val="BodyText"/>
        <w:rPr>
          <w:b/>
          <w:u w:val="none"/>
        </w:rPr>
      </w:pPr>
      <w:r>
        <w:rPr>
          <w:b/>
          <w:u w:val="none"/>
        </w:rPr>
        <w:t>December 14, 2000</w:t>
      </w:r>
    </w:p>
    <w:p>
      <w:pPr>
        <w:pStyle w:val="BodyText"/>
        <w:rPr>
          <w:b/>
          <w:u w:val="none"/>
        </w:rPr>
      </w:pPr>
      <w:r>
        <w:rPr>
          <w:b/>
          <w:u w:val="none"/>
        </w:rPr>
        <w:t>E-mail from Calvin M. Yee to Evan Hughes and Diann Huddleson</w:t>
      </w:r>
    </w:p>
    <w:p>
      <w:pPr>
        <w:pStyle w:val="BodyText"/>
        <w:rPr>
          <w:b/>
          <w:u w:val="none"/>
        </w:rPr>
      </w:pPr>
      <w:r>
        <w:rPr>
          <w:b/>
          <w:u w:val="none"/>
        </w:rPr>
        <w:t>ESP Relations</w:t>
      </w:r>
    </w:p>
    <w:p>
      <w:pPr>
        <w:pStyle w:val="BodyText"/>
        <w:rPr>
          <w:b/>
          <w:u w:val="none"/>
        </w:rPr>
      </w:pPr>
      <w:r>
        <w:rPr>
          <w:b/>
          <w:u w:val="none"/>
        </w:rPr>
        <w:t>Pacific Gas &amp; Electric Company</w:t>
      </w:r>
    </w:p>
    <w:p>
      <w:pPr>
        <w:pStyle w:val="BodyText"/>
        <w:rPr>
          <w:b/>
          <w:u w:val="none"/>
        </w:rPr>
      </w:pPr>
      <w:r>
        <w:rPr>
          <w:b/>
          <w:u w:val="none"/>
        </w:rPr>
      </w:r>
    </w:p>
    <w:p>
      <w:pPr>
        <w:pStyle w:val="BodyText"/>
        <w:rPr>
          <w:u w:val="none"/>
        </w:rPr>
      </w:pPr>
      <w:r>
        <w:rPr>
          <w:u w:val="none"/>
        </w:rPr>
        <w:t>Subject:</w:t>
      </w:r>
    </w:p>
    <w:p>
      <w:pPr>
        <w:pStyle w:val="BodyText"/>
        <w:rPr/>
      </w:pPr>
      <w:r>
        <w:rPr/>
        <w:t>Enron Credit Refunds</w:t>
      </w:r>
      <w:r>
        <w:rPr>
          <w:u w:val="none"/>
        </w:rPr>
        <w:t>.  This e-mail was a result of a visit by Diann and Evan to PG&amp;E’s offices on 12/14/2000.  It provides information re PX credit amounts and presents a payment schedule as follows:</w:t>
      </w:r>
    </w:p>
    <w:p>
      <w:pPr>
        <w:pStyle w:val="BodyText"/>
        <w:rPr>
          <w:u w:val="none"/>
        </w:rPr>
      </w:pPr>
      <w:r>
        <w:rPr>
          <w:u w:val="none"/>
        </w:rPr>
      </w:r>
    </w:p>
    <w:p>
      <w:pPr>
        <w:pStyle w:val="BodyText"/>
        <w:rPr>
          <w:u w:val="none"/>
        </w:rPr>
      </w:pPr>
      <w:r>
        <w:rPr>
          <w:u w:val="none"/>
        </w:rPr>
        <w:tab/>
        <w:t>December 15, 2000</w:t>
        <w:tab/>
        <w:tab/>
        <w:tab/>
        <w:t>36,768,994.03</w:t>
        <w:tab/>
      </w:r>
    </w:p>
    <w:p>
      <w:pPr>
        <w:pStyle w:val="BodyText"/>
        <w:rPr>
          <w:u w:val="none"/>
        </w:rPr>
      </w:pPr>
      <w:r>
        <w:rPr>
          <w:u w:val="none"/>
        </w:rPr>
        <w:tab/>
        <w:t>December 18, 2000</w:t>
        <w:tab/>
        <w:tab/>
        <w:tab/>
        <w:t>32,939,028.91</w:t>
      </w:r>
    </w:p>
    <w:p>
      <w:pPr>
        <w:pStyle w:val="BodyText"/>
        <w:rPr>
          <w:u w:val="none"/>
        </w:rPr>
      </w:pPr>
      <w:r>
        <w:rPr>
          <w:u w:val="none"/>
        </w:rPr>
      </w:r>
    </w:p>
    <w:p>
      <w:pPr>
        <w:pStyle w:val="BodyText"/>
        <w:rPr>
          <w:u w:val="none"/>
        </w:rPr>
      </w:pPr>
      <w:r>
        <w:rPr>
          <w:u w:val="none"/>
        </w:rPr>
        <w:t xml:space="preserve">It also contains a commitment to reconcile the EEMC book by 12/18, and estimates the amount to be approximately $34.2 million.  The payment for these accounts was expected to be within two days of getting the account reconciliation completed.  </w:t>
      </w:r>
    </w:p>
    <w:p>
      <w:pPr>
        <w:pStyle w:val="BodyText"/>
        <w:rPr>
          <w:u w:val="none"/>
        </w:rPr>
      </w:pPr>
      <w:r>
        <w:rPr>
          <w:u w:val="none"/>
        </w:rPr>
      </w:r>
    </w:p>
    <w:p>
      <w:pPr>
        <w:pStyle w:val="Normal"/>
        <w:rPr>
          <w:u w:val="none"/>
        </w:rPr>
      </w:pPr>
      <w:r>
        <w:rPr>
          <w:u w:val="none"/>
        </w:rPr>
      </w:r>
    </w:p>
    <w:p>
      <w:pPr>
        <w:pStyle w:val="Normal"/>
        <w:rPr>
          <w:b/>
        </w:rPr>
      </w:pPr>
      <w:r>
        <w:rPr>
          <w:b/>
        </w:rPr>
        <w:t>December 22, 2000</w:t>
      </w:r>
    </w:p>
    <w:p>
      <w:pPr>
        <w:pStyle w:val="Normal"/>
        <w:rPr>
          <w:b/>
        </w:rPr>
      </w:pPr>
      <w:r>
        <w:rPr>
          <w:b/>
        </w:rPr>
        <w:t>Pacific Gas &amp; Electric Company letter to Michael D. Smith</w:t>
      </w:r>
    </w:p>
    <w:p>
      <w:pPr>
        <w:pStyle w:val="Normal"/>
        <w:rPr>
          <w:b/>
        </w:rPr>
      </w:pPr>
      <w:r>
        <w:rPr>
          <w:b/>
        </w:rPr>
        <w:t>Enron Energy Services</w:t>
      </w:r>
    </w:p>
    <w:p>
      <w:pPr>
        <w:pStyle w:val="Normal"/>
        <w:rPr>
          <w:b/>
        </w:rPr>
      </w:pPr>
      <w:r>
        <w:rPr>
          <w:b/>
        </w:rPr>
        <w:t xml:space="preserve">Letter was from Roger J. Peters, Senior Vice President and General Counsel </w:t>
      </w:r>
    </w:p>
    <w:p>
      <w:pPr>
        <w:pStyle w:val="Normal"/>
        <w:rPr>
          <w:b/>
        </w:rPr>
      </w:pPr>
      <w:r>
        <w:rPr>
          <w:b/>
        </w:rPr>
      </w:r>
    </w:p>
    <w:p>
      <w:pPr>
        <w:pStyle w:val="Normal"/>
        <w:rPr/>
      </w:pPr>
      <w:r>
        <w:rPr/>
        <w:t>Subject:</w:t>
      </w:r>
    </w:p>
    <w:p>
      <w:pPr>
        <w:pStyle w:val="Normal"/>
        <w:rPr/>
      </w:pPr>
      <w:r>
        <w:rPr/>
        <w:t>“</w:t>
      </w:r>
      <w:r>
        <w:rPr/>
        <w:t>Negative CTC” Credits</w:t>
      </w:r>
    </w:p>
    <w:p>
      <w:pPr>
        <w:pStyle w:val="Normal"/>
        <w:rPr/>
      </w:pPr>
      <w:r>
        <w:rPr/>
      </w:r>
    </w:p>
    <w:p>
      <w:pPr>
        <w:pStyle w:val="Normal"/>
        <w:rPr/>
      </w:pPr>
      <w:r>
        <w:rPr/>
        <w:t>Narrative:</w:t>
      </w:r>
    </w:p>
    <w:p>
      <w:pPr>
        <w:pStyle w:val="Normal"/>
        <w:rPr/>
      </w:pPr>
      <w:r>
        <w:rPr/>
        <w:t>PG&amp;E advises Enron that it had been implementing a policy by which it paid the negative CTC to energy service providers that provide consolidated billing in circumstances where certain criteria were met.  PG&amp;E has done that notwithstanding the fact that the appropriateness of these credits was uncertain.</w:t>
      </w:r>
    </w:p>
    <w:p>
      <w:pPr>
        <w:pStyle w:val="Normal"/>
        <w:rPr/>
      </w:pPr>
      <w:r>
        <w:rPr/>
      </w:r>
    </w:p>
    <w:p>
      <w:pPr>
        <w:pStyle w:val="Normal"/>
        <w:rPr/>
      </w:pPr>
      <w:r>
        <w:rPr/>
        <w:t>Notification</w:t>
      </w:r>
    </w:p>
    <w:p>
      <w:pPr>
        <w:pStyle w:val="Normal"/>
        <w:rPr/>
      </w:pPr>
      <w:r>
        <w:rPr/>
      </w:r>
    </w:p>
    <w:p>
      <w:pPr>
        <w:pStyle w:val="Normal"/>
        <w:rPr/>
      </w:pPr>
      <w:r>
        <w:rPr/>
        <w:t>PG&amp;E notifies Enron that as of December 21, and subsequent to a petition to the California Public Utilities Commission, PG&amp;E would be suspending this policy.  The issues referenced as support of above decision are:</w:t>
      </w:r>
    </w:p>
    <w:p>
      <w:pPr>
        <w:pStyle w:val="Normal"/>
        <w:rPr/>
      </w:pPr>
      <w:r>
        <w:rPr/>
      </w:r>
    </w:p>
    <w:p>
      <w:pPr>
        <w:pStyle w:val="Normal"/>
        <w:numPr>
          <w:ilvl w:val="0"/>
          <w:numId w:val="4"/>
        </w:numPr>
        <w:rPr/>
      </w:pPr>
      <w:r>
        <w:rPr/>
        <w:t>Two key aspects of PG&amp;E’s policy could be affected by the current uncertainty surrounding the status of the California energy market</w:t>
      </w:r>
    </w:p>
    <w:p>
      <w:pPr>
        <w:pStyle w:val="Normal"/>
        <w:numPr>
          <w:ilvl w:val="1"/>
          <w:numId w:val="2"/>
        </w:numPr>
        <w:rPr/>
      </w:pPr>
      <w:r>
        <w:rPr/>
        <w:t>the lawfulness of “negative CTC”</w:t>
      </w:r>
    </w:p>
    <w:p>
      <w:pPr>
        <w:pStyle w:val="Normal"/>
        <w:numPr>
          <w:ilvl w:val="1"/>
          <w:numId w:val="2"/>
        </w:numPr>
        <w:rPr/>
      </w:pPr>
      <w:r>
        <w:rPr/>
        <w:t>the ownership of those credits</w:t>
      </w:r>
    </w:p>
    <w:p>
      <w:pPr>
        <w:pStyle w:val="Normal"/>
        <w:numPr>
          <w:ilvl w:val="0"/>
          <w:numId w:val="4"/>
        </w:numPr>
        <w:rPr/>
      </w:pPr>
      <w:r>
        <w:rPr/>
        <w:t>Claim that the conditions for terminating the existing rate freeze were satisfied (Application 00-11-056)</w:t>
      </w:r>
    </w:p>
    <w:p>
      <w:pPr>
        <w:pStyle w:val="Normal"/>
        <w:numPr>
          <w:ilvl w:val="0"/>
          <w:numId w:val="4"/>
        </w:numPr>
        <w:rPr/>
      </w:pPr>
      <w:r>
        <w:rPr/>
        <w:t xml:space="preserve">Implications of the fact that the “negative CTC” credits at issue are based on prices that the FERC has recently determined were not just and reasonable, and thus subject to refund.  </w:t>
      </w:r>
    </w:p>
    <w:p>
      <w:pPr>
        <w:pStyle w:val="Normal"/>
        <w:numPr>
          <w:ilvl w:val="0"/>
          <w:numId w:val="4"/>
        </w:numPr>
        <w:rPr/>
      </w:pPr>
      <w:r>
        <w:rPr/>
        <w:t>PG&amp;E’s precarious financial condition, caused by the out-of-control market</w:t>
      </w:r>
    </w:p>
    <w:p>
      <w:pPr>
        <w:pStyle w:val="Normal"/>
        <w:numPr>
          <w:ilvl w:val="0"/>
          <w:numId w:val="4"/>
        </w:numPr>
        <w:rPr/>
      </w:pPr>
      <w:r>
        <w:rPr/>
        <w:t xml:space="preserve">Prudent to await CPUC direction before making further payments.  </w:t>
      </w:r>
    </w:p>
    <w:p>
      <w:pPr>
        <w:pStyle w:val="Normal"/>
        <w:numPr>
          <w:ilvl w:val="0"/>
          <w:numId w:val="4"/>
        </w:numPr>
        <w:rPr/>
      </w:pPr>
      <w:r>
        <w:rPr/>
        <w:t>May impact PG&amp;E’s goal to provide uninterrupted customer service</w:t>
      </w:r>
    </w:p>
    <w:p>
      <w:pPr>
        <w:pStyle w:val="Normal"/>
        <w:rPr/>
      </w:pPr>
      <w:r>
        <w:rPr/>
      </w:r>
    </w:p>
    <w:p>
      <w:pPr>
        <w:pStyle w:val="Normal"/>
        <w:rPr/>
      </w:pPr>
      <w:r>
        <w:rPr/>
        <w:t>Hence, “We, therefore, do not believe it appropriate or in the best interests of our customers to send a disputed $150 million payment in this time of crisis.”</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360"/>
      </w:pPr>
    </w:lvl>
    <w:lvl w:ilvl="2">
      <w:start w:val="1"/>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8"/>
    </w:rPr>
  </w:style>
  <w:style w:type="paragraph" w:styleId="Heading2">
    <w:name w:val="heading 2"/>
    <w:basedOn w:val="Normal"/>
    <w:next w:val="Normal"/>
    <w:qFormat/>
    <w:pPr>
      <w:keepNext w:val="true"/>
      <w:numPr>
        <w:ilvl w:val="1"/>
        <w:numId w:val="1"/>
      </w:numPr>
      <w:jc w:val="center"/>
      <w:outlineLvl w:val="1"/>
    </w:pPr>
    <w:rPr>
      <w:b/>
      <w:bCs/>
    </w:rPr>
  </w:style>
  <w:style w:type="character" w:styleId="WW8Num1z0">
    <w:name w:val="WW8Num1z0"/>
    <w:qFormat/>
    <w:rPr>
      <w:rFonts w:ascii="Symbol" w:hAnsi="Symbol" w:cs="Symbol"/>
    </w:rPr>
  </w:style>
  <w:style w:type="character" w:styleId="WW8Num1z4">
    <w:name w:val="WW8Num1z4"/>
    <w:qFormat/>
    <w:rPr>
      <w:rFonts w:ascii="Courier New" w:hAnsi="Courier New" w:cs="Courier New"/>
    </w:rPr>
  </w:style>
  <w:style w:type="character" w:styleId="WW8Num1z5">
    <w:name w:val="WW8Num1z5"/>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2001-08-01T20:00:00Z</dcterms:created>
  <dc:creator>rbuerge</dc:creator>
  <dc:description/>
  <dc:language>en-CA</dc:language>
  <cp:lastModifiedBy>lbarnes</cp:lastModifiedBy>
  <dcterms:modified xsi:type="dcterms:W3CDTF">2001-08-01T20:00:00Z</dcterms:modified>
  <cp:revision>2</cp:revision>
  <dc:subject/>
  <dc:title>July 31, 2001</dc:title>
</cp:coreProperties>
</file>