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2"/>
        </w:rPr>
      </w:pPr>
      <w:r>
        <w:rPr>
          <w:sz w:val="22"/>
        </w:rPr>
        <w:t>PRIVILEGED AND CONFIDENTIAL:</w:t>
      </w:r>
    </w:p>
    <w:p>
      <w:pPr>
        <w:pStyle w:val="Heading"/>
        <w:spacing w:before="0" w:after="480"/>
        <w:jc w:val="start"/>
        <w:rPr>
          <w:b w:val="false"/>
          <w:sz w:val="22"/>
        </w:rPr>
      </w:pPr>
      <w:r>
        <w:rPr>
          <w:sz w:val="22"/>
        </w:rPr>
        <w:t>ATTORNEY WORK PRODUCT</w:t>
      </w:r>
    </w:p>
    <w:p>
      <w:pPr>
        <w:pStyle w:val="Heading"/>
        <w:spacing w:before="0" w:after="480"/>
        <w:rPr>
          <w:sz w:val="22"/>
        </w:rPr>
      </w:pPr>
      <w:r>
        <w:rPr>
          <w:sz w:val="22"/>
        </w:rPr>
        <w:t>Summary of Regulatory, Legal and Bankruptcy</w:t>
        <w:br/>
        <w:t>Issues Pertaining to "Negative CTCs"</w:t>
      </w:r>
    </w:p>
    <w:p>
      <w:pPr>
        <w:pStyle w:val="Heading1"/>
        <w:ind w:hanging="0" w:start="0"/>
        <w:rPr/>
      </w:pPr>
      <w:r>
        <w:rPr/>
        <w:t>Description of "Negative CTCs"</w:t>
      </w:r>
    </w:p>
    <w:p>
      <w:pPr>
        <w:pStyle w:val="ListBullet31"/>
        <w:numPr>
          <w:ilvl w:val="0"/>
          <w:numId w:val="8"/>
        </w:numPr>
        <w:ind w:hanging="0" w:start="0"/>
        <w:rPr/>
      </w:pPr>
      <w:r>
        <w:rPr>
          <w:u w:val="single"/>
        </w:rPr>
        <w:t>Determined by PX Price</w:t>
      </w:r>
      <w:r>
        <w:rPr/>
        <w:t>.  Results when PX price itself exceeds the statutorily mandated frozen bundled rate applicable to a DA Customer for which EES is a consolidated ESP biller.  UDC's tariffs in 1997 initially imposed a "zero minimum bill" requirement (that is, the UDC charges imposed on ESP could only be "squeezed down" to zero regardless of the magnitude of the increase in the PX price), but tariffs amended in 1999 to effectively require UDC to pay consolidated billing ESPs (like EES) if UDC bill to ESP results in a "negative" number due to large PX credits.</w:t>
      </w:r>
    </w:p>
    <w:p>
      <w:pPr>
        <w:pStyle w:val="ListBullet31"/>
        <w:numPr>
          <w:ilvl w:val="0"/>
          <w:numId w:val="8"/>
        </w:numPr>
        <w:ind w:hanging="0" w:start="0"/>
        <w:rPr/>
      </w:pPr>
      <w:r>
        <w:rPr>
          <w:u w:val="single"/>
        </w:rPr>
        <w:t>UDC Tariffs Amended</w:t>
      </w:r>
      <w:r>
        <w:rPr/>
        <w:t xml:space="preserve">.  While UDC tariffs eliminated zero minimum bill, they did not explicitly provide for a cash payment requirement to ESPs (including payment dates), although that is implication of the tariff changes.  See, e.g., PG&amp;E Tariff Schedule E-19, Sec. 15.  Payments to ESPs essentially should be due at the same time monthly payments otherwise would be due </w:t>
      </w:r>
      <w:r>
        <w:rPr>
          <w:i/>
        </w:rPr>
        <w:t>to</w:t>
      </w:r>
      <w:r>
        <w:rPr/>
        <w:t xml:space="preserve"> the UDCs from the ESPs.</w:t>
      </w:r>
    </w:p>
    <w:p>
      <w:pPr>
        <w:pStyle w:val="ListBullet31"/>
        <w:numPr>
          <w:ilvl w:val="0"/>
          <w:numId w:val="8"/>
        </w:numPr>
        <w:ind w:hanging="0" w:start="0"/>
        <w:rPr/>
      </w:pPr>
      <w:r>
        <w:rPr>
          <w:u w:val="single"/>
        </w:rPr>
        <w:t>UDC Payment History</w:t>
      </w:r>
      <w:r>
        <w:rPr/>
        <w:t>.  PG&amp;E previously did pay EES the negative CTCs for a period of time during 2000 and, indeed, even after it stopped paying EES, PG&amp;E continued to pay other ESPs for a while.  SCE also previously paid negative CTCs to EES and other ESPs as well for periods in 2000, but stopped making payments around December.  UDCs' position is that all or a substantial portion of the amounts may not be due to ESPs if rate freeze deemed to be ended in 2000.  We are not sure whether the UDCs (as opposed to their creditors) will challenge their liabilities for negative CTCs if they lose the rate freeze argument.</w:t>
      </w:r>
    </w:p>
    <w:p>
      <w:pPr>
        <w:pStyle w:val="ListBullet31"/>
        <w:numPr>
          <w:ilvl w:val="0"/>
          <w:numId w:val="8"/>
        </w:numPr>
        <w:ind w:hanging="0" w:start="0"/>
        <w:rPr/>
      </w:pPr>
      <w:r>
        <w:rPr>
          <w:u w:val="single"/>
        </w:rPr>
        <w:t>Claim Created by Tariff</w:t>
      </w:r>
      <w:r>
        <w:rPr/>
        <w:t xml:space="preserve">.  EES's claim arises by reason of the amendment of the UDC tariffs (via the rate schedules).  This is not a direct contractual based claim against PG&amp;E and SCE; however, such arguably claim should be treated </w:t>
      </w:r>
      <w:r>
        <w:rPr>
          <w:i/>
        </w:rPr>
        <w:t>pari passu</w:t>
      </w:r>
      <w:r>
        <w:rPr/>
        <w:t xml:space="preserve"> with other unsecured claims of the UDCs.</w:t>
      </w:r>
    </w:p>
    <w:p>
      <w:pPr>
        <w:pStyle w:val="Heading1"/>
        <w:ind w:hanging="0" w:start="0"/>
        <w:rPr/>
      </w:pPr>
      <w:r>
        <w:rPr/>
        <w:t>Certain Risks Associated with Recovering the Negative CTCs</w:t>
      </w:r>
    </w:p>
    <w:p>
      <w:pPr>
        <w:pStyle w:val="ListBullet31"/>
        <w:numPr>
          <w:ilvl w:val="0"/>
          <w:numId w:val="8"/>
        </w:numPr>
        <w:ind w:hanging="0" w:start="0"/>
        <w:rPr>
          <w:u w:val="single"/>
        </w:rPr>
      </w:pPr>
      <w:r>
        <w:rPr>
          <w:u w:val="single"/>
        </w:rPr>
        <w:t>Unexpected Results</w:t>
      </w:r>
      <w:r>
        <w:rPr/>
        <w:t xml:space="preserve">.  It is not clear from reading the order amending the tariffs that the CPUC or the parties involved contemplated the true effect of eliminating the zero minimum bill requirement, thereby resulting in some risk of an assertion by the CPUC that additional changes to comport with its "intent" should be made.  (Because a change likely would effect a rate schedule amendment, EES (and other ESPs) would have a strong argument that any such change as to </w:t>
      </w:r>
      <w:r>
        <w:rPr>
          <w:i/>
        </w:rPr>
        <w:t>past</w:t>
      </w:r>
      <w:r>
        <w:rPr/>
        <w:t xml:space="preserve"> periods could be subject to judicial challenge on "retroactive ratemaking" grounds).</w:t>
      </w:r>
    </w:p>
    <w:p>
      <w:pPr>
        <w:pStyle w:val="ListBullet31"/>
        <w:numPr>
          <w:ilvl w:val="0"/>
          <w:numId w:val="8"/>
        </w:numPr>
        <w:ind w:hanging="0" w:start="0"/>
        <w:rPr>
          <w:u w:val="single"/>
        </w:rPr>
      </w:pPr>
      <w:r>
        <w:rPr>
          <w:u w:val="single"/>
        </w:rPr>
        <w:t>Party Entitled to Pursue Claim.</w:t>
      </w:r>
      <w:r>
        <w:rPr/>
        <w:t xml:space="preserve">  The UDCs have at certain times alleged that the negative CTCs are due to and must be passed through to the ESP's DA customers.  EES's position is that it has done so since its customers have been insulated from the rise in wholesale prices (as measured at the PX).  Since many of EES's contracts are fixed price contracts and were entered into prior to the elimination of the zero bill minimum requirement, there potentially may be an issue as to whether the negative CTCs have been (or will be) passed through to its DA customers.  It therefore is possible that a challenge may be mounted as to whether EES or its customers are entitled to the negative CTCs.  Faced with the prospect of the imposition of higher rates on customers, the CPUC potentially could side with customers as opposed to ESPs like EES (in those situations where there was not (or would not be) a clear and transparent “pass through” of the negative CTCs to DA customers.</w:t>
      </w:r>
    </w:p>
    <w:p>
      <w:pPr>
        <w:pStyle w:val="ListBullet31"/>
        <w:numPr>
          <w:ilvl w:val="0"/>
          <w:numId w:val="8"/>
        </w:numPr>
        <w:ind w:hanging="0" w:start="0"/>
        <w:rPr>
          <w:b/>
        </w:rPr>
      </w:pPr>
      <w:r>
        <w:rPr>
          <w:u w:val="single"/>
        </w:rPr>
        <w:t>Tariff Based Claim</w:t>
      </w:r>
      <w:r>
        <w:rPr/>
        <w:t>.  Since it is dependent on a tariff, EES's claim may not be as secure as a claim based upon a "straight" bilateral contract with the UDC.  This is particularly true for the prospective portion of its claim since the CPUC may focus on this issue and unilaterally amend the tariffs.</w:t>
      </w:r>
    </w:p>
    <w:p>
      <w:pPr>
        <w:pStyle w:val="ListBullet31"/>
        <w:numPr>
          <w:ilvl w:val="0"/>
          <w:numId w:val="8"/>
        </w:numPr>
        <w:ind w:hanging="0" w:start="0"/>
        <w:rPr>
          <w:b/>
        </w:rPr>
      </w:pPr>
      <w:r>
        <w:rPr>
          <w:u w:val="single"/>
        </w:rPr>
        <w:t>End of Rate Freeze.</w:t>
      </w:r>
      <w:r>
        <w:rPr/>
        <w:t xml:space="preserve">  If the UDCs were successful in this assertion, particularly if the CPUC determined that the rate freeze had ended prior to the summer of 2000, it could eliminate EES's claim for all or a substantial portion of its existing claim, as well as its prospective claim.  In addition, it is possible, although perhaps not likely, that the UDCs could also assert that, in the event the rate freeze was considered to have ended in 2000, consolidated billing ESPs (like EES) also should be liable to pay to the UDCs the UDC charges that otherwise would have been due to them but for the application of the PX credit as an offset in those prior billing periods.</w:t>
      </w:r>
    </w:p>
    <w:p>
      <w:pPr>
        <w:pStyle w:val="ListBullet31"/>
        <w:numPr>
          <w:ilvl w:val="0"/>
          <w:numId w:val="8"/>
        </w:numPr>
        <w:ind w:hanging="0" w:start="0"/>
        <w:rPr>
          <w:b/>
        </w:rPr>
      </w:pPr>
      <w:r>
        <w:rPr>
          <w:u w:val="single"/>
        </w:rPr>
        <w:t>CPUC Remedial Action for Current Crisis</w:t>
      </w:r>
      <w:r>
        <w:rPr/>
        <w:t>.  Even if the CPUC does not find the rate freeze to have ended during 2000, it may permit a prospective increase in the rates of the UDC's customers.  Such a rate increase could have the effect of reducing EES's prospective right to negative CTCs since it would reduce or eliminate the current difference by which the PX price exceeds the bundled rate.  Alternatively, the PX may be eliminated on a prospective basis in favor of bilateral contracts, in which case it is unclear what would happen to the negative CTC concept.  It is entirely uncertain as to whether a surrogate measure or index would be substituted for the PX credit.  Lastly, it would appear that there is a fairly good likelihood that the existing regime may be replaced by a “bottoms up” type of pricing calculation that effectively would eliminate the type of PX credit calculation that has resulted in the negative CTCs.</w:t>
      </w:r>
    </w:p>
    <w:p>
      <w:pPr>
        <w:pStyle w:val="ListBullet31"/>
        <w:numPr>
          <w:ilvl w:val="0"/>
          <w:numId w:val="8"/>
        </w:numPr>
        <w:ind w:hanging="0" w:start="0"/>
        <w:rPr>
          <w:b/>
        </w:rPr>
      </w:pPr>
      <w:r>
        <w:rPr>
          <w:u w:val="single"/>
        </w:rPr>
        <w:t>Assignment of Existing CTC Receivable to EPMI.</w:t>
      </w:r>
      <w:r>
        <w:rPr/>
        <w:t xml:space="preserve">  Such assignment may add some marginal risk in the recovery analysis since it potentially could divert the CPUC's (and other parties') attention from the substantive issues associated with the negative CTCs.</w:t>
      </w:r>
    </w:p>
    <w:p>
      <w:pPr>
        <w:pStyle w:val="Heading1"/>
        <w:ind w:hanging="0" w:start="0"/>
        <w:rPr/>
      </w:pPr>
      <w:r>
        <w:rPr/>
        <w:t>Actions to Enhance Possibility of Recovery</w:t>
      </w:r>
    </w:p>
    <w:p>
      <w:pPr>
        <w:pStyle w:val="ListBullet31"/>
        <w:numPr>
          <w:ilvl w:val="0"/>
          <w:numId w:val="8"/>
        </w:numPr>
        <w:ind w:hanging="0" w:start="0"/>
        <w:rPr/>
      </w:pPr>
      <w:r>
        <w:rPr>
          <w:u w:val="single"/>
        </w:rPr>
        <w:t>Complaint filed with CPUC</w:t>
      </w:r>
      <w:r>
        <w:rPr/>
        <w:t>.  EES filed a complaint with the CPUC on Friday seeking confirmation of its right to negative CTC payments from PG&amp;E and a directive to PG&amp;E to make such payments to EES.  EES plans to make a similar filing with the CPUC for amounts it is owed by SCE, after issuing a demand for payment to SCE on Friday.  A key objective is to attempt to keep this question at the CPUC (a body more familiar with these regulatory obligations and liabilities) even if the UDCs file for bankruptcy in federal bankruptcy court (in which case the automatic stay generally would become effective).  The objective would be to have the CPUC reach a final determination approving EES's claim, which may provide it with a firmer foundation in the bankruptcy case.  It is anticipated that other ESPs soon will file similar complaints at the CPUC, or join on to EES’s complaint.</w:t>
      </w:r>
    </w:p>
    <w:p>
      <w:pPr>
        <w:pStyle w:val="ListBullet31"/>
        <w:numPr>
          <w:ilvl w:val="0"/>
          <w:numId w:val="8"/>
        </w:numPr>
        <w:ind w:hanging="0" w:start="0"/>
        <w:rPr/>
      </w:pPr>
      <w:r>
        <w:rPr>
          <w:u w:val="single"/>
        </w:rPr>
        <w:t>Collection Suit.</w:t>
      </w:r>
      <w:r>
        <w:rPr/>
        <w:t xml:space="preserve">  Depending on whether EES believes the CPUC will move forward, EES may also file a judicial collection action.  Such a suit, however, likely would be stayed if the UDCs file for bankruptcy, and, even if not stayed, it is likely that the court would abstain or otherwise defer the dispute to the CPUC.</w:t>
      </w:r>
    </w:p>
    <w:p>
      <w:pPr>
        <w:pStyle w:val="Heading1"/>
        <w:ind w:hanging="0" w:start="0"/>
        <w:rPr/>
      </w:pPr>
      <w:r>
        <w:rPr/>
        <w:t>Status of Claim in Bankruptcy</w:t>
      </w:r>
    </w:p>
    <w:p>
      <w:pPr>
        <w:pStyle w:val="ListBullet31"/>
        <w:numPr>
          <w:ilvl w:val="0"/>
          <w:numId w:val="8"/>
        </w:numPr>
        <w:ind w:hanging="0" w:start="0"/>
        <w:rPr>
          <w:b/>
        </w:rPr>
      </w:pPr>
      <w:r>
        <w:rPr>
          <w:u w:val="single"/>
        </w:rPr>
        <w:t>Existing Claim.</w:t>
      </w:r>
      <w:r>
        <w:rPr/>
        <w:t xml:space="preserve">  EES's existing negative CTC claim likely would be treated as an unsecured claim in the bankruptcy of PG&amp;E and SCE, similar to the treatment of unsecured sellers of power and gas to the UDCs.  The unusual nature of this tariff-based claim, including the possible challenge as to whose claim it may be considered to be (e.g., EES or the DA customers served by it), may pose an additional hurdle for recognition by the court and recovery than the more straightforward unsecured contract claims.</w:t>
      </w:r>
    </w:p>
    <w:p>
      <w:pPr>
        <w:pStyle w:val="ListBullet31"/>
        <w:numPr>
          <w:ilvl w:val="0"/>
          <w:numId w:val="8"/>
        </w:numPr>
        <w:ind w:hanging="0" w:start="0"/>
        <w:rPr/>
      </w:pPr>
      <w:r>
        <w:rPr>
          <w:u w:val="single"/>
        </w:rPr>
        <w:t>Post-Petition Accrued Claims</w:t>
      </w:r>
      <w:r>
        <w:rPr/>
        <w:t>.  Like other unsecured claims, amounts accrued after the filing of a bankruptcy petition, to the extent otherwise treated as valid claims, should be treated as administrative claims and subject to the priority rules applicable thereto.  EES likely would petition the bankruptcy court to cause the debtor to assume the obligation to pay the negative CTC to EES in consideration of EES's ongoing consolidated billing obligations to the DA customers.  If assumed, the UDCs would be required to remit all past amounts due to EES (including pre-petition amounts).  The more likely scenario, however, probably is that the UDCs would reject such obligations, in which case EES (to the extent its claim is otherwise valid) would be left holding unsecured claims against the UDCs for the amount of its claims as of the petition date.</w:t>
      </w:r>
    </w:p>
    <w:p>
      <w:pPr>
        <w:pStyle w:val="ListBullet31"/>
        <w:numPr>
          <w:ilvl w:val="0"/>
          <w:numId w:val="8"/>
        </w:numPr>
        <w:ind w:hanging="0" w:start="0"/>
        <w:rPr/>
      </w:pPr>
      <w:r>
        <w:rPr>
          <w:u w:val="single"/>
        </w:rPr>
        <w:t>Claim Resulting from Rate Change.</w:t>
      </w:r>
      <w:r>
        <w:rPr/>
        <w:t xml:space="preserve">  As noted above, an increase in customer rates by the CPUC (or other body), either as a temporary or permanent measure or surcharge, will have the corresponding effect of reducing the negative CTCs earned by EES.  (This is the same result as occurred due to the recent 1 cent/kWh temporary surcharge granted by the CPUC).  Although EES may attempt to prosecute a claim for the economic loss suffered by it as a result of a rate increase, the possibility of recovering on any portion of such a claim in bankruptcy against the UDCs (presumably on the basis that such companies bear some responsibility for the regulators having to step in and increase customer rates) will be virtually impossible.  It should also be noted that EPMI, as a wholesale seller of gas and power to the UDCs, likely would be in support of a regulatory solution that would increase the UDCs' rates, thereby further decreasing the chances of any recovery by EES on this type of claim.</w:t>
      </w:r>
    </w:p>
    <w:p>
      <w:pPr>
        <w:pStyle w:val="ListBullet31"/>
        <w:numPr>
          <w:ilvl w:val="0"/>
          <w:numId w:val="8"/>
        </w:numPr>
        <w:ind w:hanging="0" w:start="0"/>
        <w:rPr>
          <w:b/>
        </w:rPr>
      </w:pPr>
      <w:r>
        <w:rPr>
          <w:u w:val="single"/>
        </w:rPr>
        <w:t>Negative EBITDA.</w:t>
      </w:r>
      <w:r>
        <w:rPr/>
        <w:t xml:space="preserve">  Unlike most other Chapter 11 reorganization candidates, PG&amp;E and SCE currently have negative EBITDA.  Thus, while EES might have an administrative claim priority for post-petition accrued negative CTCs vis-à-vis pre-petition unsecured claimants, without significant interim rate relief and a power purchase cost fix and/or an accommodating DIP lender, it is unclear where the cash will come from to pay administrative claims, particularly ones of an "unusual" nature like the negative CTC claim.</w:t>
      </w:r>
    </w:p>
    <w:p>
      <w:pPr>
        <w:pStyle w:val="ListBullet31"/>
        <w:numPr>
          <w:ilvl w:val="0"/>
          <w:numId w:val="8"/>
        </w:numPr>
        <w:ind w:hanging="0" w:start="0"/>
        <w:rPr/>
      </w:pPr>
      <w:r>
        <w:rPr>
          <w:u w:val="single"/>
        </w:rPr>
        <w:t>Substantial Size of the Unsecured Class</w:t>
      </w:r>
      <w:r>
        <w:rPr/>
        <w:t>.  As the UDCs continue to fail to pay their suppliers, the size of the claims in the unsecured class (other than for negative CTCs) will grow substantially.  (It is estimated that the negative CTC claims of all ESPs by themselves at this time may be in the range of $500M—$600M).  Presumably, this class will also contain the sizeable claims of DWR which has to date and will likely temporarily continue to step in to make wholesale power purchases on behalf of the UDCs.</w:t>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monBullets">
    <w:altName w:val="Symbol"/>
    <w:charset w:val="02"/>
    <w:family w:val="swiss"/>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KEYWORDS </w:instrText>
    </w:r>
    <w:r>
      <w:rPr>
        <w:sz w:val="14"/>
      </w:rPr>
      <w:fldChar w:fldCharType="separate"/>
    </w:r>
    <w:r>
      <w:rPr>
        <w:sz w:val="14"/>
      </w:rPr>
      <w:t>NYC 365628.1 02618 00125 1/21/01 4:21:40 PM</w:t>
    </w:r>
    <w:r>
      <w:rPr>
        <w:sz w:val="14"/>
      </w:rPr>
      <w:fldChar w:fldCharType="end"/>
    </w:r>
    <w:r>
      <w:rPr>
        <w:sz w:val="14"/>
      </w:rPr>
      <w:tab/>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CommonBullets" w:hAnsi="CommonBullets" w:cs="CommonBullet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240"/>
      <w:outlineLvl w:val="0"/>
    </w:pPr>
    <w:rPr>
      <w:b/>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CommonBullets;Symbol" w:hAnsi="CommonBullets;Symbol" w:cs="CommonBullets;Symbol"/>
      <w:sz w:val="20"/>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rFonts w:ascii="Times New Roman" w:hAnsi="Times New Roman" w:cs="Times New Roman"/>
    </w:rPr>
  </w:style>
  <w:style w:type="character" w:styleId="WW8Num17z0">
    <w:name w:val="WW8Num17z0"/>
    <w:qFormat/>
    <w:rPr>
      <w:rFonts w:ascii="Wingdings" w:hAnsi="Wingdings" w:cs="Wingdings"/>
    </w:rPr>
  </w:style>
  <w:style w:type="character" w:styleId="WW8Num18z0">
    <w:name w:val="WW8Num18z0"/>
    <w:qFormat/>
    <w:rPr>
      <w:rFonts w:ascii="Times New Roman" w:hAnsi="Times New Roman" w:cs="Times New Roman"/>
    </w:rPr>
  </w:style>
  <w:style w:type="character" w:styleId="WW8Num19z0">
    <w:name w:val="WW8Num19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21z0">
    <w:name w:val="WW8Num21z0"/>
    <w:qFormat/>
    <w:rPr>
      <w:rFonts w:ascii="Times New Roman" w:hAnsi="Times New Roman" w:cs="Times New Roman"/>
    </w:rPr>
  </w:style>
  <w:style w:type="character" w:styleId="WW8Num22z0">
    <w:name w:val="WW8Num22z0"/>
    <w:qFormat/>
    <w:rPr>
      <w:rFonts w:ascii="Wingdings" w:hAnsi="Wingdings" w:cs="Wingdings"/>
    </w:rPr>
  </w:style>
  <w:style w:type="character" w:styleId="WW8Num23z0">
    <w:name w:val="WW8Num23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5z0">
    <w:name w:val="WW8Num25z0"/>
    <w:qFormat/>
    <w:rPr>
      <w:rFonts w:ascii="Times New Roman" w:hAnsi="Times New Roman" w:cs="Times New Roman"/>
    </w:rPr>
  </w:style>
  <w:style w:type="character" w:styleId="WW8Num26z0">
    <w:name w:val="WW8Num26z0"/>
    <w:qFormat/>
    <w:rPr>
      <w:rFonts w:ascii="Times New Roman" w:hAnsi="Times New Roman" w:cs="Times New Roman"/>
    </w:rPr>
  </w:style>
  <w:style w:type="character" w:styleId="DefaultParagraphFont">
    <w:name w:val="Default Paragraph Font"/>
    <w:qFormat/>
    <w:rPr/>
  </w:style>
  <w:style w:type="character" w:styleId="ParaNum">
    <w:name w:val="ParaNum"/>
    <w:basedOn w:val="DefaultParagraphFont"/>
    <w:qFormat/>
    <w:rPr>
      <w:b w:val="false"/>
      <w:i w:val="false"/>
      <w:vanish w:val="false"/>
      <w:sz w:val="22"/>
      <w:u w:val="non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EndnoteText">
    <w:name w:val="endnote text"/>
    <w:basedOn w:val="Normal"/>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spacing w:before="0" w:after="240"/>
    </w:pPr>
    <w:rPr>
      <w:sz w:val="22"/>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2001-01-21T22:07:00Z</dcterms:created>
  <dc:creator>John G. Klauberg</dc:creator>
  <dc:description/>
  <cp:keywords>NYC 365628.1 02618 00125 1/21/01 4:21:40 PM</cp:keywords>
  <dc:language>en-CA</dc:language>
  <cp:lastModifiedBy>John G. Klauberg</cp:lastModifiedBy>
  <cp:lastPrinted>2001-01-21T20:47:00Z</cp:lastPrinted>
  <dcterms:modified xsi:type="dcterms:W3CDTF">2001-01-21T23:23:00Z</dcterms:modified>
  <cp:revision>24</cp:revision>
  <dc:subject/>
  <dc:title>Summary of Regulatory, Legal and Bankruptcy Issues Pertaining to the “Negative CTC”</dc:title>
</cp:coreProperties>
</file>