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ASSIGNMENT AGREEMENT </w:t>
      </w:r>
    </w:p>
    <w:p>
      <w:pPr>
        <w:pStyle w:val="Normal"/>
        <w:rPr>
          <w:sz w:val="24"/>
        </w:rPr>
      </w:pPr>
      <w:r>
        <w:rPr>
          <w:sz w:val="24"/>
        </w:rPr>
      </w:r>
    </w:p>
    <w:p>
      <w:pPr>
        <w:pStyle w:val="BodyText"/>
        <w:rPr/>
      </w:pPr>
      <w:r>
        <w:rPr/>
        <w:t xml:space="preserve">This Assignment Agreement, dated as of January 16, 2001 (this "Agreement"), is by and between Enron Energy Marketing Corp. ("EEMC") and Enron Power Marketing, Inc. ("EPMI").  </w:t>
      </w:r>
    </w:p>
    <w:p>
      <w:pPr>
        <w:pStyle w:val="BodyText"/>
        <w:ind w:hanging="0" w:end="0"/>
        <w:jc w:val="center"/>
        <w:rPr>
          <w:b/>
        </w:rPr>
      </w:pPr>
      <w:r>
        <w:rPr>
          <w:b/>
        </w:rPr>
        <w:t>W I T N E S S E T H</w:t>
      </w:r>
    </w:p>
    <w:p>
      <w:pPr>
        <w:pStyle w:val="BodyText"/>
        <w:rPr/>
      </w:pPr>
      <w:r>
        <w:rPr/>
        <w:t>WHEREAS, EEMC is a licensed energy service provider ("ESP") within the service territories of Pacific Gas &amp; Electric Company ("PG&amp;E") and Southern California Edison Company ("SCE"), each of which is a California utility distribution company;</w:t>
      </w:r>
    </w:p>
    <w:p>
      <w:pPr>
        <w:pStyle w:val="BodyText"/>
        <w:rPr/>
      </w:pPr>
      <w:r>
        <w:rPr/>
        <w:t>WHEREAS, EEMC, in its capacity as an ESP for certain direct access customers ("DA Customers") served by it pursuant to consolidated billing arrangements, presently is entitled to certain accrued but not yet paid Power Exchange credits ("PX Credits") attributable to the DA Customers that are due and owing to EEMC as of the date hereof from PG&amp;E and SCE (the "Regulatory Receivable");</w:t>
      </w:r>
    </w:p>
    <w:p>
      <w:pPr>
        <w:pStyle w:val="BodyText"/>
        <w:rPr/>
      </w:pPr>
      <w:r>
        <w:rPr/>
        <w:t>WHEREAS, the Regulatory Receivable, which reflects what are commonly referred to as "negative" competition transition charges, results from the elimination of the direct access zero minimum bill pursuant to Decision No. 99-06-058 by the California Public Utilities Commission and as reflected in PG&amp;E's and SCE's applicable electric rate schedules delineating billing adjustments for PX Credits for customers receiving direct access service, effective on and after June 10, 1999;</w:t>
      </w:r>
    </w:p>
    <w:p>
      <w:pPr>
        <w:pStyle w:val="BodyText"/>
        <w:rPr/>
      </w:pPr>
      <w:r>
        <w:rPr/>
        <w:t>WHEREAS, PG&amp;E and SCE currently are delinquent in their remittance of payments to EEMC on account of their respective liabilities to EEMC reflected by the Regulatory Receivable (which liabilities result from EEMC's consolidated billing for direct access services to DA Customers);</w:t>
      </w:r>
    </w:p>
    <w:p>
      <w:pPr>
        <w:pStyle w:val="BodyText"/>
        <w:rPr/>
      </w:pPr>
      <w:r>
        <w:rPr/>
        <w:t>WHEREAS, because the Regulatory Receivable is calculated based upon wholesale power costs and the management and ongoing monitoring thereof is more consistent with the wholesale power business conducted by EPMI from an overall wholesale and power risk management standpoint;</w:t>
      </w:r>
    </w:p>
    <w:p>
      <w:pPr>
        <w:pStyle w:val="BodyText"/>
        <w:rPr/>
      </w:pPr>
      <w:r>
        <w:rPr/>
        <w:t>WHEREAS, in furtherance of the foregoing, EEMC desires to transfer and assign to EPMI all of EEMC's right, title and interest in and to the Regulatory Receivable as accrued to the date hereof (but not thereafter), and EPMI desires to accept such transfer and assignment in accordance with the terms hereof; and</w:t>
      </w:r>
    </w:p>
    <w:p>
      <w:pPr>
        <w:pStyle w:val="BodyText"/>
        <w:rPr/>
      </w:pPr>
      <w:r>
        <w:rPr/>
        <w:t>NOW, THEREFORE, in consideration of the mutual covenants and agreements contained herein and other valuable consideration, the receipt and sufficiency of which are hereby acknowledged, EEMC and EPMI, intending legally to be bound, agree as follows:</w:t>
      </w:r>
    </w:p>
    <w:p>
      <w:pPr>
        <w:pStyle w:val="Heading1"/>
        <w:keepNext w:val="false"/>
        <w:ind w:hanging="0" w:start="0"/>
        <w:rPr/>
      </w:pPr>
      <w:r>
        <w:rPr>
          <w:u w:val="single"/>
        </w:rPr>
        <w:t>Conveyance of the Regulatory Receivable</w:t>
      </w:r>
      <w:r>
        <w:rPr/>
        <w:t xml:space="preserve">.  Effective as of and from January 16, 2001, EEMC hereby does sell, transfer, assign, set over and otherwise convey to EPMI, without recourse (subject to the obligations herein), all right, title and interest of EEMC in and to the Regulatory Receivable (such sale, transfer, assignment, set over and conveyance of the Regulatory Receivable includes, to the fullest extent permitted by the law, the assignment of all revenues, collections, claims, rights, payments, money or proceeds of or arising from the Regulatory Receivable).  Such sale, transfer, assignment, set over and conveyance is hereby expressly stated to be a sale and shall be treated as an absolute transfer of all of EEMC's right, title and interest (as in a true sale), and not as a pledge or other financing, of the Regulatory Receivable [, other than for federal and state income and franchise tax purposes.]  EEMC is not transferring, assigning or conveying to EPMI any right, title or interest in any PX Credits or Regulatory Receivable that may accrue or may be earned on or after the date hereof, </w:t>
      </w:r>
      <w:r>
        <w:rPr>
          <w:u w:val="single"/>
        </w:rPr>
        <w:t>provided</w:t>
      </w:r>
      <w:r>
        <w:rPr/>
        <w:t xml:space="preserve"> that this in no way shall limit or restrict EPMI's right to receive payment on account of the amount of the Regulatory Receivable in effect on the date hereof, regardless of when the payments on account thereof are made by PG&amp;E, SCE or otherwise.</w:t>
      </w:r>
    </w:p>
    <w:p>
      <w:pPr>
        <w:pStyle w:val="Heading1"/>
        <w:keepNext w:val="false"/>
        <w:ind w:hanging="0" w:start="0"/>
        <w:rPr/>
      </w:pPr>
      <w:r>
        <w:rPr>
          <w:u w:val="single"/>
        </w:rPr>
        <w:t>Representations and Warranties; Certain Covenants</w:t>
      </w:r>
      <w:r>
        <w:rPr/>
        <w:t xml:space="preserve">.  Each of EEMC and EPMI hereby represents and warrants to the other party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keepNext w:val="false"/>
        <w:ind w:hanging="0" w:start="0"/>
        <w:rPr/>
      </w:pPr>
      <w:r>
        <w:rPr>
          <w:u w:val="single"/>
        </w:rPr>
        <w:t>Counterparts.</w:t>
      </w:r>
      <w:r>
        <w:rPr/>
        <w:t xml:space="preserve">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w:t>
      </w:r>
      <w:r>
        <w:rPr/>
        <w:t>.  This Agreement shall be binding upon and inure to the benefit of the parties hereto and their respective successors and permitted assigns.</w:t>
      </w:r>
    </w:p>
    <w:p>
      <w:pPr>
        <w:pStyle w:val="Heading1"/>
        <w:keepNext w:val="false"/>
        <w:ind w:hanging="0" w:start="0"/>
        <w:rPr/>
      </w:pPr>
      <w:r>
        <w:rPr>
          <w:u w:val="single"/>
        </w:rPr>
        <w:t>Severability</w:t>
      </w:r>
      <w:r>
        <w:rPr/>
        <w:t xml:space="preserve">.  If any provision of this Agreement shall be declared by any court of competent jurisdiction illegal, void or unenforceable, the other provisions shall not be affected, but shall remain in full force and effect. </w:t>
      </w:r>
    </w:p>
    <w:p>
      <w:pPr>
        <w:pStyle w:val="BodyText"/>
        <w:rPr/>
      </w:pPr>
      <w:r>
        <w:rPr/>
        <w:t>IN WITNESS WHEREOF, the parties hereto have executed this Agreement as of the date first above written.</w:t>
      </w:r>
    </w:p>
    <w:p>
      <w:pPr>
        <w:pStyle w:val="Normal"/>
        <w:rPr/>
      </w:pPr>
      <w:r>
        <w:rPr/>
        <w:tab/>
        <w:tab/>
        <w:tab/>
        <w:tab/>
      </w:r>
    </w:p>
    <w:p>
      <w:pPr>
        <w:pStyle w:val="Normal"/>
        <w:rPr/>
      </w:pPr>
      <w:r>
        <w:rPr/>
      </w:r>
    </w:p>
    <w:p>
      <w:pPr>
        <w:pStyle w:val="Normal"/>
        <w:ind w:start="3600" w:end="0"/>
        <w:jc w:val="both"/>
        <w:rPr>
          <w:b/>
        </w:rPr>
      </w:pPr>
      <w:r>
        <w:rPr>
          <w:b/>
        </w:rPr>
        <w:t>ENRON ENERGY MARKETING CORP.</w:t>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Author" w:date="0-00-00T00:00:00Z"/>
        </w:rPr>
        <w:t>ENRON POWER MARKETING, INC.</w:t>
        <w:rPrChange w:id="0" w:author="Unknown Author" w:date="2000-12-15T08:14:00Z"/>
      </w:r>
    </w:p>
    <w:p>
      <w:pPr>
        <w:pStyle w:val="Normal"/>
        <w:ind w:start="3600" w:end="0"/>
        <w:jc w:val="both"/>
        <w:rPr>
          <w:sz w:val="24"/>
        </w:rPr>
      </w:pPr>
      <w:r>
        <w:rPr>
          <w:sz w:val="24"/>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t xml:space="preserve">NYC 365085.1 </w:t>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6"/>
      </w:rPr>
      <w:fldChar w:fldCharType="begin"/>
    </w:r>
    <w:r>
      <w:rPr>
        <w:rStyle w:val="PageNumber"/>
        <w:sz w:val="16"/>
      </w:rPr>
      <w:instrText xml:space="preserve"> TIME \@"H:mm\ AM/PM" </w:instrText>
    </w:r>
    <w:r>
      <w:rPr>
        <w:rStyle w:val="PageNumber"/>
        <w:sz w:val="16"/>
      </w:rPr>
      <w:fldChar w:fldCharType="separate"/>
    </w:r>
    <w:r>
      <w:rPr>
        <w:rStyle w:val="PageNumber"/>
        <w:sz w:val="16"/>
      </w:rPr>
      <w:t>9:28 AM</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0" w:hanging="0"/>
      </w:pPr>
      <w:rPr>
        <w:smallCaps w:val="false"/>
        <w:caps w:val="false"/>
        <w:sz w:val="24"/>
        <w:i w:val="false"/>
        <w:u w:val="none"/>
        <w:b/>
        <w:vanish w:val="false"/>
        <w:rFonts w:ascii="Times New Roman" w:hAnsi="Times New Roman" w:cs="Times New Roman"/>
      </w:rPr>
    </w:lvl>
    <w:lvl w:ilvl="1">
      <w:start w:val="1"/>
      <w:numFmt w:val="upperLetter"/>
      <w:lvlText w:val="%2."/>
      <w:lvlJc w:val="start"/>
      <w:pPr>
        <w:tabs>
          <w:tab w:val="num" w:pos="1440"/>
        </w:tabs>
        <w:ind w:start="0" w:firstLine="720"/>
      </w:pPr>
      <w:rPr>
        <w:smallCaps w:val="false"/>
        <w:caps w:val="false"/>
        <w:sz w:val="24"/>
        <w:i w:val="false"/>
        <w:u w:val="none"/>
        <w:b w:val="false"/>
        <w:vanish w:val="false"/>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vanish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vanish w:val="false"/>
        <w:rFonts w:ascii="Times New Roman" w:hAnsi="Times New Roman" w:cs="Times New Roman"/>
      </w:rPr>
    </w:lvl>
    <w:lvl w:ilvl="4">
      <w:start w:val="1"/>
      <w:numFmt w:val="lowerRoman"/>
      <w:lvlText w:val="(%5)"/>
      <w:lvlJc w:val="start"/>
      <w:pPr>
        <w:tabs>
          <w:tab w:val="num" w:pos="3600"/>
        </w:tabs>
        <w:ind w:start="0" w:firstLine="2880"/>
      </w:pPr>
      <w:rPr>
        <w:smallCaps w:val="false"/>
        <w:caps w:val="false"/>
        <w:sz w:val="24"/>
        <w:i w:val="false"/>
        <w:u w:val="none"/>
        <w:b w:val="false"/>
        <w:vanish w:val="false"/>
        <w:rFonts w:ascii="Times New Roman" w:hAnsi="Times New Roman" w:cs="Times New Roman"/>
      </w:rPr>
    </w:lvl>
    <w:lvl w:ilvl="5">
      <w:start w:val="1"/>
      <w:numFmt w:val="decimal"/>
      <w:lvlText w:val="%6."/>
      <w:lvlJc w:val="start"/>
      <w:pPr>
        <w:tabs>
          <w:tab w:val="num" w:pos="4320"/>
        </w:tabs>
        <w:ind w:start="0" w:firstLine="3600"/>
      </w:pPr>
      <w:rPr>
        <w:smallCaps w:val="false"/>
        <w:caps w:val="false"/>
        <w:sz w:val="24"/>
        <w:i w:val="false"/>
        <w:u w:val="none"/>
        <w:b w:val="false"/>
        <w:vanish w:val="false"/>
        <w:rFonts w:ascii="Times New Roman" w:hAnsi="Times New Roman" w:cs="Times New Roman"/>
      </w:rPr>
    </w:lvl>
    <w:lvl w:ilvl="6">
      <w:start w:val="1"/>
      <w:numFmt w:val="lowerLetter"/>
      <w:lvlText w:val="(%7)"/>
      <w:lvlJc w:val="start"/>
      <w:pPr>
        <w:tabs>
          <w:tab w:val="num" w:pos="5040"/>
        </w:tabs>
        <w:ind w:start="0" w:firstLine="4320"/>
      </w:pPr>
      <w:rPr>
        <w:smallCaps w:val="false"/>
        <w:caps w:val="false"/>
        <w:sz w:val="24"/>
        <w:i w:val="false"/>
        <w:u w:val="none"/>
        <w:b w:val="false"/>
        <w:vanish w:val="false"/>
        <w:rFonts w:ascii="Times New Roman" w:hAnsi="Times New Roman" w:cs="Times New Roman"/>
      </w:rPr>
    </w:lvl>
    <w:lvl w:ilvl="7">
      <w:start w:val="1"/>
      <w:numFmt w:val="lowerRoman"/>
      <w:lvlText w:val="(%8)"/>
      <w:lvlJc w:val="start"/>
      <w:pPr>
        <w:tabs>
          <w:tab w:val="num" w:pos="5760"/>
        </w:tabs>
        <w:ind w:start="0" w:firstLine="5040"/>
      </w:pPr>
      <w:rPr>
        <w:smallCaps w:val="false"/>
        <w:caps w:val="false"/>
        <w:sz w:val="24"/>
        <w:i w:val="false"/>
        <w:u w:val="none"/>
        <w:b w:val="false"/>
        <w:vanish w:val="false"/>
        <w:rFonts w:ascii="Times New Roman" w:hAnsi="Times New Roman" w:cs="Times New Roman"/>
      </w:rPr>
    </w:lvl>
    <w:lvl w:ilvl="8">
      <w:start w:val="1"/>
      <w:numFmt w:val="decimal"/>
      <w:lvlText w:val="(%9)"/>
      <w:lvlJc w:val="start"/>
      <w:pPr>
        <w:tabs>
          <w:tab w:val="num" w:pos="6480"/>
        </w:tabs>
        <w:ind w:start="0" w:firstLine="5760"/>
      </w:pPr>
      <w:rPr>
        <w:smallCaps w:val="false"/>
        <w:caps w:val="false"/>
        <w:sz w:val="24"/>
        <w:i w:val="false"/>
        <w:u w:val="none"/>
        <w:b w:val="false"/>
        <w:vanish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2z0">
    <w:name w:val="WW8Num2z0"/>
    <w:qFormat/>
    <w:rPr>
      <w:rFonts w:ascii="Times New Roman" w:hAnsi="Times New Roman" w:cs="Times New Roman"/>
      <w:b/>
      <w:i w:val="false"/>
      <w:caps w:val="false"/>
      <w:smallCaps w:val="false"/>
      <w:vanish w:val="false"/>
      <w:sz w:val="24"/>
      <w:u w:val="none"/>
    </w:rPr>
  </w:style>
  <w:style w:type="character" w:styleId="WW8Num2z1">
    <w:name w:val="WW8Num2z1"/>
    <w:qFormat/>
    <w:rPr>
      <w:rFonts w:ascii="Times New Roman" w:hAnsi="Times New Roman" w:cs="Times New Roman"/>
      <w:b w:val="false"/>
      <w:i w:val="false"/>
      <w:caps w:val="false"/>
      <w:smallCaps w:val="false"/>
      <w:vanish w:val="false"/>
      <w:color w:val="000000"/>
      <w:sz w:val="24"/>
      <w:u w:val="none"/>
    </w:rPr>
  </w:style>
  <w:style w:type="character" w:styleId="WW8Num2z3">
    <w:name w:val="WW8Num2z3"/>
    <w:qFormat/>
    <w:rPr>
      <w:rFonts w:ascii="Times New Roman" w:hAnsi="Times New Roman" w:cs="Times New Roman"/>
      <w:b w:val="false"/>
      <w:i w:val="false"/>
      <w:caps w:val="false"/>
      <w:smallCaps w:val="false"/>
      <w:vanish w:val="false"/>
      <w:sz w:val="24"/>
      <w:u w:val="none"/>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Centered">
    <w:name w:val="Centered"/>
    <w:basedOn w:val="Normal"/>
    <w:next w:val="BodyText"/>
    <w:qFormat/>
    <w:pPr>
      <w:spacing w:before="0" w:after="240"/>
      <w:jc w:val="center"/>
    </w:pPr>
    <w:rPr>
      <w:b/>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2001-01-17T02:21:00Z</dcterms:created>
  <dc:creator>tjones</dc:creator>
  <dc:description/>
  <cp:keywords>NYC 365084.1 24571 00122 1/16/01 10:16:30 PM</cp:keywords>
  <dc:language>en-CA</dc:language>
  <cp:lastModifiedBy>LeBoeuf, Lamb, Greene &amp; MacRae, L.L.P.</cp:lastModifiedBy>
  <cp:lastPrinted>2001-01-16T23:46:00Z</cp:lastPrinted>
  <dcterms:modified xsi:type="dcterms:W3CDTF">2001-01-17T02:21:00Z</dcterms:modified>
  <cp:revision>3</cp:revision>
  <dc:subject/>
  <dc:title>ASSIGNMENT AGREEMENT</dc:title>
</cp:coreProperties>
</file>