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CREDIT SUISSE FIRST BOSTON (EUROPE) LIMITED, a </w:t>
      </w:r>
      <w:r>
        <w:rPr>
          <w:sz w:val="22"/>
          <w:szCs w:val="22"/>
          <w:u w:val="single"/>
        </w:rPr>
        <w:tab/>
        <w:tab/>
        <w:tab/>
      </w:r>
      <w:r>
        <w:rPr>
          <w:sz w:val="22"/>
          <w:szCs w:val="22"/>
        </w:rPr>
        <w:t xml:space="preserve"> corporation (“Counterparty”), and ECT INVESTMENTS, INC.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Credit Suisse First Boston (Europe) Limited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u w:val="single"/>
              </w:rPr>
            </w:pPr>
            <w:r>
              <w:rPr>
                <w:color w:val="000000"/>
                <w:sz w:val="22"/>
                <w:szCs w:val="22"/>
                <w:u w:val="single"/>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2001-08-23T17:50:00Z</dcterms:created>
  <dc:creator>tjones</dc:creator>
  <dc:description/>
  <dc:language>en-CA</dc:language>
  <cp:lastModifiedBy>mheard</cp:lastModifiedBy>
  <cp:lastPrinted>2001-03-19T16:03:00Z</cp:lastPrinted>
  <dcterms:modified xsi:type="dcterms:W3CDTF">2001-08-23T18:00:00Z</dcterms:modified>
  <cp:revision>3</cp:revision>
  <dc:subject/>
  <dc:title>EXHIBIT A</dc:title>
</cp:coreProperties>
</file>