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jc w:val="start"/>
        <w:outlineLvl w:val="0"/>
        <w:rPr/>
      </w:pPr>
      <w:r>
        <w:rPr/>
      </w:r>
    </w:p>
    <w:p>
      <w:pPr>
        <w:pStyle w:val="Heading"/>
        <w:numPr>
          <w:ilvl w:val="0"/>
          <w:numId w:val="0"/>
        </w:numPr>
        <w:ind w:firstLine="720" w:start="1440" w:end="0"/>
        <w:jc w:val="start"/>
        <w:outlineLvl w:val="0"/>
        <w:rPr/>
      </w:pPr>
      <w:r>
        <w:rPr/>
        <w:t>Enron Research-Technical Analysis</w:t>
      </w:r>
    </w:p>
    <w:p>
      <w:pPr>
        <w:pStyle w:val="Heading"/>
        <w:rPr>
          <w:u w:val="none"/>
        </w:rPr>
      </w:pPr>
      <w:r>
        <w:rPr>
          <w:u w:val="none"/>
        </w:rPr>
        <w:t xml:space="preserve"> </w:t>
      </w:r>
      <w:r>
        <w:rPr>
          <w:u w:val="none"/>
        </w:rPr>
        <w:t>Crude Oil Market</w:t>
      </w:r>
    </w:p>
    <w:p>
      <w:pPr>
        <w:pStyle w:val="Heading"/>
        <w:rPr>
          <w:sz w:val="24"/>
          <w:u w:val="none"/>
        </w:rPr>
      </w:pPr>
      <w:r>
        <w:rPr>
          <w:sz w:val="24"/>
          <w:u w:val="none"/>
        </w:rPr>
        <w:t>July 14, 2000</w:t>
      </w:r>
    </w:p>
    <w:p>
      <w:pPr>
        <w:pStyle w:val="Heading"/>
        <w:rPr>
          <w:sz w:val="24"/>
          <w:u w:val="none"/>
        </w:rPr>
      </w:pPr>
      <w:r>
        <w:rPr>
          <w:sz w:val="24"/>
          <w:u w:val="none"/>
        </w:rPr>
        <w:t>By Tricia Tlapek ext. 36615</w:t>
      </w:r>
    </w:p>
    <w:p>
      <w:pPr>
        <w:pStyle w:val="Heading"/>
        <w:jc w:val="start"/>
        <w:rPr>
          <w:sz w:val="20"/>
          <w:u w:val="none"/>
        </w:rPr>
      </w:pPr>
      <w:r>
        <w:rPr>
          <w:sz w:val="20"/>
          <w:u w:val="none"/>
        </w:rPr>
      </w:r>
    </w:p>
    <w:tbl>
      <w:tblPr>
        <w:tblW w:w="3330" w:type="dxa"/>
        <w:jc w:val="start"/>
        <w:tblInd w:w="27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1710"/>
      </w:tblGrid>
      <w:tr>
        <w:trPr>
          <w:trHeight w:val="953" w:hRule="atLeast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sz w:val="22"/>
                <w:u w:val="none"/>
              </w:rPr>
              <w:t>Support-CLQ</w:t>
            </w:r>
          </w:p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color w:val="FF0000"/>
                <w:sz w:val="22"/>
                <w:u w:val="none"/>
              </w:rPr>
              <w:t>31.00ish</w:t>
            </w:r>
          </w:p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color w:val="FF0000"/>
                <w:sz w:val="22"/>
                <w:u w:val="none"/>
              </w:rPr>
              <w:t>30.60-30.70</w:t>
            </w:r>
          </w:p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color w:val="FF0000"/>
                <w:sz w:val="22"/>
                <w:u w:val="none"/>
              </w:rPr>
              <w:t>29.80-29.70</w:t>
            </w:r>
          </w:p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color w:val="FF0000"/>
                <w:sz w:val="22"/>
                <w:u w:val="none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sz w:val="22"/>
                <w:u w:val="none"/>
              </w:rPr>
              <w:t>Resistance-CLQ</w:t>
            </w:r>
          </w:p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color w:val="FF0000"/>
                <w:sz w:val="22"/>
                <w:u w:val="none"/>
              </w:rPr>
              <w:t>31.50</w:t>
            </w:r>
          </w:p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color w:val="FF0000"/>
                <w:sz w:val="22"/>
                <w:u w:val="none"/>
              </w:rPr>
              <w:t>31.80</w:t>
            </w:r>
          </w:p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color w:val="FF0000"/>
                <w:sz w:val="22"/>
                <w:u w:val="none"/>
              </w:rPr>
              <w:t>32.40-32.60</w:t>
            </w:r>
          </w:p>
        </w:tc>
      </w:tr>
    </w:tbl>
    <w:p>
      <w:pPr>
        <w:pStyle w:val="BodyText"/>
        <w:tabs>
          <w:tab w:val="clear" w:pos="720"/>
          <w:tab w:val="left" w:pos="450" w:leader="none"/>
        </w:tabs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Text"/>
        <w:tabs>
          <w:tab w:val="clear" w:pos="720"/>
          <w:tab w:val="left" w:pos="450" w:leader="none"/>
        </w:tabs>
        <w:rPr>
          <w:color w:val="000000"/>
          <w:sz w:val="24"/>
        </w:rPr>
      </w:pPr>
      <w:r>
        <w:rPr>
          <w:color w:val="000000"/>
          <w:sz w:val="24"/>
        </w:rPr>
        <w:t>For the 7/14 session:</w:t>
      </w:r>
    </w:p>
    <w:p>
      <w:pPr>
        <w:pStyle w:val="BodyText"/>
        <w:tabs>
          <w:tab w:val="clear" w:pos="720"/>
          <w:tab w:val="left" w:pos="450" w:leader="none"/>
        </w:tabs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Text"/>
        <w:tabs>
          <w:tab w:val="clear" w:pos="720"/>
          <w:tab w:val="left" w:pos="450" w:leader="none"/>
        </w:tabs>
        <w:rPr>
          <w:color w:val="000000"/>
          <w:sz w:val="24"/>
        </w:rPr>
      </w:pPr>
      <w:r>
        <w:rPr>
          <w:color w:val="000000"/>
          <w:sz w:val="24"/>
        </w:rPr>
        <w:t>As long as 31.00ish holds, and with sustained trade above 31.50, CLQ will likely trade higher with objective of 32.40-32.60, gap area and trendline resistance.</w:t>
      </w:r>
    </w:p>
    <w:p>
      <w:pPr>
        <w:pStyle w:val="BodyText"/>
        <w:tabs>
          <w:tab w:val="clear" w:pos="720"/>
          <w:tab w:val="left" w:pos="450" w:leader="none"/>
        </w:tabs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Text"/>
        <w:tabs>
          <w:tab w:val="clear" w:pos="720"/>
          <w:tab w:val="left" w:pos="450" w:leader="none"/>
        </w:tabs>
        <w:rPr>
          <w:sz w:val="24"/>
        </w:rPr>
      </w:pPr>
      <w:r>
        <w:rPr>
          <w:color w:val="000000"/>
          <w:sz w:val="24"/>
        </w:rPr>
        <w:t>With trades below 30.90, target is 30.70-30.60.  Below 30.50, target is 30.00</w:t>
      </w:r>
    </w:p>
    <w:p>
      <w:pPr>
        <w:pStyle w:val="BodyText"/>
        <w:tabs>
          <w:tab w:val="clear" w:pos="720"/>
          <w:tab w:val="left" w:pos="450" w:leader="none"/>
        </w:tabs>
        <w:rPr>
          <w:sz w:val="24"/>
        </w:rPr>
      </w:pPr>
      <w:r>
        <w:rPr>
          <w:sz w:val="24"/>
        </w:rPr>
      </w:r>
    </w:p>
    <w:p>
      <w:pPr>
        <w:pStyle w:val="BodyText"/>
        <w:tabs>
          <w:tab w:val="clear" w:pos="720"/>
          <w:tab w:val="left" w:pos="450" w:leader="none"/>
        </w:tabs>
        <w:rPr>
          <w:sz w:val="24"/>
        </w:rPr>
      </w:pPr>
      <w:r>
        <w:rPr>
          <w:sz w:val="24"/>
        </w:rPr>
      </w:r>
    </w:p>
    <w:p>
      <w:pPr>
        <w:pStyle w:val="BodyText"/>
        <w:tabs>
          <w:tab w:val="clear" w:pos="720"/>
          <w:tab w:val="left" w:pos="450" w:leader="none"/>
        </w:tabs>
        <w:rPr>
          <w:sz w:val="24"/>
        </w:rPr>
      </w:pPr>
      <w:r>
        <w:rPr>
          <w:sz w:val="24"/>
        </w:rPr>
        <w:t>Daily Continuation Chart with trendline resistance of 32.61</w:t>
      </w:r>
    </w:p>
    <w:p>
      <w:pPr>
        <w:pStyle w:val="BodyText"/>
        <w:tabs>
          <w:tab w:val="clear" w:pos="720"/>
          <w:tab w:val="left" w:pos="450" w:leader="none"/>
        </w:tabs>
        <w:rPr>
          <w:sz w:val="24"/>
        </w:rPr>
      </w:pPr>
      <w:r>
        <w:rPr>
          <w:sz w:val="24"/>
        </w:rPr>
      </w:r>
    </w:p>
    <w:p>
      <w:pPr>
        <w:pStyle w:val="BodyText"/>
        <w:tabs>
          <w:tab w:val="clear" w:pos="720"/>
          <w:tab w:val="left" w:pos="450" w:leader="none"/>
        </w:tabs>
        <w:rPr>
          <w:sz w:val="24"/>
        </w:rPr>
      </w:pPr>
      <w:r>
        <w:rPr>
          <w:sz w:val="24"/>
        </w:rPr>
        <w:object w:dxaOrig="14423" w:dyaOrig="10386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39.6pt;margin-top:8.9pt;width:512.35pt;height:302.4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986746954" r:id="rId2"/>
        </w:object>
      </w:r>
    </w:p>
    <w:p>
      <w:pPr>
        <w:pStyle w:val="BodyText"/>
        <w:tabs>
          <w:tab w:val="clear" w:pos="720"/>
          <w:tab w:val="left" w:pos="450" w:leader="none"/>
        </w:tabs>
        <w:rPr>
          <w:sz w:val="24"/>
        </w:rPr>
      </w:pPr>
      <w:r>
        <w:rPr>
          <w:sz w:val="24"/>
        </w:rPr>
      </w:r>
    </w:p>
    <w:p>
      <w:pPr>
        <w:pStyle w:val="BodyText"/>
        <w:tabs>
          <w:tab w:val="clear" w:pos="720"/>
          <w:tab w:val="left" w:pos="450" w:leader="none"/>
        </w:tabs>
        <w:rPr>
          <w:sz w:val="24"/>
          <w:u w:val="single"/>
        </w:rPr>
      </w:pPr>
      <w:r>
        <w:rPr>
          <w:sz w:val="24"/>
          <w:u w:val="single"/>
        </w:rPr>
      </w:r>
    </w:p>
    <w:sectPr>
      <w:type w:val="nextPage"/>
      <w:pgSz w:w="12240" w:h="15840"/>
      <w:pgMar w:left="1800" w:right="1800" w:gutter="0" w:header="0" w:top="81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color w:val="0000FF"/>
      <w:sz w:val="28"/>
      <w:u w:val="single"/>
    </w:rPr>
  </w:style>
  <w:style w:type="paragraph" w:styleId="BodyText">
    <w:name w:val="Body Text"/>
    <w:basedOn w:val="Normal"/>
    <w:pPr/>
    <w:rPr>
      <w:color w:val="0000FF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2000-07-13T22:32:00Z</dcterms:created>
  <dc:creator>ssion</dc:creator>
  <dc:description/>
  <dc:language>en-CA</dc:language>
  <cp:lastModifiedBy>ssion</cp:lastModifiedBy>
  <cp:lastPrinted>2000-07-13T16:09:00Z</cp:lastPrinted>
  <dcterms:modified xsi:type="dcterms:W3CDTF">2000-07-13T23:13:00Z</dcterms:modified>
  <cp:revision>13</cp:revision>
  <dc:subject/>
  <dc:title>Enron Research-Technical Analysis</dc:title>
</cp:coreProperties>
</file>