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980" w:leader="none"/>
        </w:tabs>
        <w:ind w:start="720" w:end="720"/>
        <w:jc w:val="center"/>
        <w:rPr/>
      </w:pPr>
      <w:r>
        <w:rPr/>
      </w:r>
    </w:p>
    <w:p>
      <w:pPr>
        <w:pStyle w:val="Normal"/>
        <w:tabs>
          <w:tab w:val="clear" w:pos="720"/>
          <w:tab w:val="left" w:pos="1980" w:leader="none"/>
        </w:tabs>
        <w:ind w:start="720" w:end="720"/>
        <w:jc w:val="center"/>
        <w:rPr>
          <w:rFonts w:ascii="Arial" w:hAnsi="Arial" w:cs="Arial"/>
          <w:b/>
          <w:bCs/>
          <w:sz w:val="27"/>
          <w:szCs w:val="27"/>
        </w:rPr>
      </w:pPr>
      <w:r>
        <w:rPr>
          <w:rFonts w:cs="Arial" w:ascii="Arial" w:hAnsi="Arial"/>
          <w:b/>
          <w:bCs/>
          <w:sz w:val="27"/>
          <w:szCs w:val="27"/>
        </w:rPr>
        <w:t>Los Esteros Transmission Project</w:t>
      </w:r>
    </w:p>
    <w:p>
      <w:pPr>
        <w:pStyle w:val="Normal"/>
        <w:tabs>
          <w:tab w:val="clear" w:pos="720"/>
          <w:tab w:val="left" w:pos="1980" w:leader="none"/>
        </w:tabs>
        <w:ind w:start="720" w:end="720"/>
        <w:jc w:val="center"/>
        <w:rPr/>
      </w:pPr>
      <w:r>
        <w:rPr/>
        <w:t> </w:t>
      </w:r>
    </w:p>
    <w:p>
      <w:pPr>
        <w:pStyle w:val="NormalWeb"/>
        <w:ind w:start="720" w:end="720"/>
        <w:rPr>
          <w:b/>
          <w:bCs/>
        </w:rPr>
      </w:pPr>
      <w:r>
        <w:rPr>
          <w:rFonts w:cs="Arial" w:ascii="Arial" w:hAnsi="Arial"/>
          <w:b/>
          <w:bCs/>
        </w:rPr>
        <w:t>Summary of Criteria Review:</w:t>
      </w:r>
    </w:p>
    <w:p>
      <w:pPr>
        <w:pStyle w:val="NormalWeb"/>
        <w:ind w:start="720" w:end="720"/>
        <w:rPr>
          <w:sz w:val="20"/>
          <w:szCs w:val="20"/>
        </w:rPr>
      </w:pPr>
      <w:r>
        <w:rPr>
          <w:rFonts w:cs="Arial" w:ascii="Arial" w:hAnsi="Arial"/>
          <w:sz w:val="20"/>
          <w:szCs w:val="20"/>
        </w:rPr>
        <w:t>The Committees reviewed the Los Esteros project using the SVMG project evaluation criteria:</w:t>
      </w:r>
    </w:p>
    <w:p>
      <w:pPr>
        <w:pStyle w:val="Normal"/>
        <w:numPr>
          <w:ilvl w:val="0"/>
          <w:numId w:val="1"/>
        </w:numPr>
        <w:spacing w:before="0" w:after="0"/>
        <w:ind w:hanging="360" w:start="1440" w:end="720"/>
        <w:rPr>
          <w:sz w:val="20"/>
          <w:szCs w:val="20"/>
          <w:u w:val="single"/>
        </w:rPr>
      </w:pPr>
      <w:r>
        <w:rPr>
          <w:rFonts w:cs="Arial" w:ascii="Arial" w:hAnsi="Arial"/>
          <w:sz w:val="20"/>
          <w:szCs w:val="20"/>
          <w:u w:val="single"/>
        </w:rPr>
        <w:t>Need for Electricity:</w:t>
      </w:r>
      <w:r>
        <w:rPr>
          <w:rFonts w:cs="Arial" w:ascii="Arial" w:hAnsi="Arial"/>
          <w:sz w:val="20"/>
          <w:szCs w:val="20"/>
        </w:rPr>
        <w:t xml:space="preserve"> Transmission load studies from PG&amp;E and the CAISO indicate that the electric loads in the North San Jose area have been reached, or will be exceeding the capability of the existing transmission infrastructure. Expansion of the transmission facilities is necessary to ensure reliability and accommodate growth within Silicon Valley. This project is necessary, in addition to continued conservation efforts, and new electric generation proposed within the San Jose area.</w:t>
      </w:r>
      <w:r>
        <w:rPr>
          <w:sz w:val="20"/>
          <w:szCs w:val="20"/>
        </w:rPr>
        <w:t xml:space="preserve"> </w:t>
      </w:r>
    </w:p>
    <w:p>
      <w:pPr>
        <w:pStyle w:val="Normal"/>
        <w:numPr>
          <w:ilvl w:val="0"/>
          <w:numId w:val="1"/>
        </w:numPr>
        <w:spacing w:before="0" w:after="0"/>
        <w:ind w:hanging="360" w:start="1440" w:end="720"/>
        <w:rPr>
          <w:sz w:val="20"/>
          <w:szCs w:val="20"/>
          <w:u w:val="single"/>
        </w:rPr>
      </w:pPr>
      <w:r>
        <w:rPr>
          <w:rFonts w:cs="Arial" w:ascii="Arial" w:hAnsi="Arial"/>
          <w:sz w:val="20"/>
          <w:szCs w:val="20"/>
          <w:u w:val="single"/>
        </w:rPr>
        <w:t>Environmental Issues:</w:t>
      </w:r>
      <w:r>
        <w:rPr>
          <w:rFonts w:cs="Arial" w:ascii="Arial" w:hAnsi="Arial"/>
          <w:sz w:val="20"/>
          <w:szCs w:val="20"/>
        </w:rPr>
        <w:t xml:space="preserve"> An Environmental Impact Report (EIR) has been prepared by the CPUC in accordance with CEQA. Public comment has been provided through several public hearings, and the project will address the requirements of local, State, and Federal permitting agencies. The EIR evaluated the environmental impacts that are expected to result from the project construction, and provided mitigation measures to help avoid or minimize the environmental impacts.</w:t>
      </w:r>
      <w:r>
        <w:rPr>
          <w:sz w:val="20"/>
          <w:szCs w:val="20"/>
        </w:rPr>
        <w:t xml:space="preserve"> </w:t>
      </w:r>
    </w:p>
    <w:p>
      <w:pPr>
        <w:pStyle w:val="Normal"/>
        <w:numPr>
          <w:ilvl w:val="0"/>
          <w:numId w:val="1"/>
        </w:numPr>
        <w:spacing w:before="0" w:after="280"/>
        <w:ind w:hanging="360" w:start="1440" w:end="720"/>
        <w:rPr>
          <w:sz w:val="20"/>
          <w:szCs w:val="20"/>
        </w:rPr>
      </w:pPr>
      <w:r>
        <w:rPr>
          <w:rFonts w:cs="Arial" w:ascii="Arial" w:hAnsi="Arial"/>
          <w:sz w:val="20"/>
          <w:szCs w:val="20"/>
          <w:u w:val="single"/>
        </w:rPr>
        <w:t>Land Use Issues:</w:t>
      </w:r>
      <w:r>
        <w:rPr>
          <w:rFonts w:cs="Arial" w:ascii="Arial" w:hAnsi="Arial"/>
          <w:sz w:val="20"/>
          <w:szCs w:val="20"/>
        </w:rPr>
        <w:t xml:space="preserve"> The land for the substation site is currently in Santa Clara County, and is within the Urban Service Area for the City of San Jose, with a land use designation of Light Industrial. The transmission route follows freeway corridors and areas with present commercial/industrial uses. While there are some land use impacts related to this project, including; loss of farmland (24 acres), degraded views for recreational trails and business park occupants, and displacement of 4 existing residents, it is believed that the proposed project location has less impact than other alternatives considered. In addition, all impacts will be mitigated to the extent possible. The land use impacts were considered minimal when compared to the societal benefit from the project.</w:t>
      </w:r>
      <w:r>
        <w:rPr>
          <w:sz w:val="20"/>
          <w:szCs w:val="20"/>
        </w:rPr>
        <w:t xml:space="preserve"> </w:t>
      </w:r>
    </w:p>
    <w:p>
      <w:pPr>
        <w:pStyle w:val="NormalWeb"/>
        <w:ind w:start="720" w:end="720"/>
        <w:rPr>
          <w:b/>
          <w:bCs/>
        </w:rPr>
      </w:pPr>
      <w:r>
        <w:rPr>
          <w:rFonts w:cs="Arial" w:ascii="Arial" w:hAnsi="Arial"/>
          <w:b/>
          <w:bCs/>
        </w:rPr>
        <w:t>Alternatives to the Energy Project</w:t>
      </w:r>
    </w:p>
    <w:p>
      <w:pPr>
        <w:pStyle w:val="NormalWeb"/>
        <w:ind w:start="720" w:end="720"/>
        <w:rPr>
          <w:sz w:val="20"/>
          <w:szCs w:val="20"/>
        </w:rPr>
      </w:pPr>
      <w:r>
        <w:rPr>
          <w:rFonts w:cs="Arial" w:ascii="Arial" w:hAnsi="Arial"/>
          <w:sz w:val="20"/>
          <w:szCs w:val="20"/>
        </w:rPr>
        <w:t>As part of the evaluation process, 22 potential alternative routes or methods of providing the required increase in electricity to the region were evaluated. Of these, 12 alternatives were eliminated because they did not offer significant environmental advantages over the proposed project, or were not feasible. The EIR included analysis of five alternative routes for the 230kV transmission line, two alternative substation sites, and two alternatives to the 115kV transmission upgrade. In addition, a No Project alternative was evaluated.</w:t>
      </w:r>
    </w:p>
    <w:p>
      <w:pPr>
        <w:pStyle w:val="NormalWeb"/>
        <w:ind w:start="720" w:end="720"/>
        <w:rPr>
          <w:sz w:val="20"/>
          <w:szCs w:val="20"/>
        </w:rPr>
      </w:pPr>
      <w:r>
        <w:rPr>
          <w:rFonts w:cs="Arial" w:ascii="Arial" w:hAnsi="Arial"/>
          <w:sz w:val="20"/>
          <w:szCs w:val="20"/>
        </w:rPr>
        <w:t>If the proposed project were not constructed, PG&amp;E would be required to respond to growing demand by expanding its existing system to the extent possible. Such existing system upgrades would likely include re-conductoring the 115kV transmission lines from the Newark substation to the North San Jose area, installation of additional transformers at existing substations, and other system improvements. These improvements would add incremental increases in electric service but would not solve the existing and anticipated power problems. The region would have the impacts of these upgrades (including construction on several existing lines through the San Francisco Bay National Wildlife Refuge), and PG&amp;E would then need to propose other alternatives to the CPUC through a subsequent project application. This future process could potentially have greater impacts than the implementation of the proposed project.</w:t>
      </w:r>
    </w:p>
    <w:p>
      <w:pPr>
        <w:pStyle w:val="NormalWeb"/>
        <w:ind w:start="720" w:end="720"/>
        <w:rPr>
          <w:sz w:val="20"/>
          <w:szCs w:val="20"/>
        </w:rPr>
      </w:pPr>
      <w:r>
        <w:rPr>
          <w:rFonts w:cs="Arial" w:ascii="Arial" w:hAnsi="Arial"/>
          <w:sz w:val="20"/>
          <w:szCs w:val="20"/>
        </w:rPr>
        <w:t>Other alternatives including conservation, and added local generation have been considered. The Committees have concluded that this project is needed in addition to these other options.</w:t>
      </w:r>
    </w:p>
    <w:p>
      <w:pPr>
        <w:pStyle w:val="NormalWeb"/>
        <w:ind w:start="720" w:end="720"/>
        <w:rPr>
          <w:b/>
          <w:bCs/>
        </w:rPr>
      </w:pPr>
      <w:r>
        <w:rPr>
          <w:rFonts w:cs="Arial" w:ascii="Arial" w:hAnsi="Arial"/>
          <w:b/>
          <w:bCs/>
        </w:rPr>
        <w:t>Recommendation/Next Steps</w:t>
      </w:r>
    </w:p>
    <w:p>
      <w:pPr>
        <w:pStyle w:val="NormalWeb"/>
        <w:ind w:start="720" w:end="720"/>
        <w:rPr>
          <w:sz w:val="20"/>
          <w:szCs w:val="20"/>
        </w:rPr>
      </w:pPr>
      <w:r>
        <w:rPr>
          <w:rFonts w:cs="Arial" w:ascii="Arial" w:hAnsi="Arial"/>
          <w:sz w:val="20"/>
          <w:szCs w:val="20"/>
        </w:rPr>
        <w:t>Approve the evaluation of the Los Esteros Transmission Project against the project criteria.</w:t>
      </w:r>
    </w:p>
    <w:p>
      <w:pPr>
        <w:pStyle w:val="Normal"/>
        <w:tabs>
          <w:tab w:val="clear" w:pos="720"/>
          <w:tab w:val="left" w:pos="1980" w:leader="none"/>
        </w:tabs>
        <w:ind w:start="720" w:end="720"/>
        <w:rPr/>
      </w:pPr>
      <w:r>
        <w:rPr/>
        <w:t> </w:t>
      </w:r>
    </w:p>
    <w:p>
      <w:pPr>
        <w:pStyle w:val="Normal"/>
        <w:ind w:start="720" w:end="720"/>
        <w:jc w:val="center"/>
        <w:rPr>
          <w:rFonts w:ascii="Arial" w:hAnsi="Arial" w:cs="Arial"/>
          <w:b/>
          <w:bCs/>
          <w:sz w:val="20"/>
          <w:szCs w:val="20"/>
        </w:rPr>
      </w:pPr>
      <w:r>
        <w:rPr>
          <w:rFonts w:cs="Arial" w:ascii="Arial" w:hAnsi="Arial"/>
          <w:b/>
          <w:bCs/>
          <w:sz w:val="20"/>
          <w:szCs w:val="20"/>
        </w:rPr>
        <w:t xml:space="preserve">EVALUATION: </w:t>
      </w:r>
    </w:p>
    <w:p>
      <w:pPr>
        <w:pStyle w:val="Normal"/>
        <w:ind w:start="720" w:end="720"/>
        <w:jc w:val="center"/>
        <w:rPr/>
      </w:pPr>
      <w:r>
        <w:rPr>
          <w:rFonts w:cs="Arial" w:ascii="Arial" w:hAnsi="Arial"/>
          <w:b/>
          <w:bCs/>
          <w:i/>
          <w:iCs/>
          <w:sz w:val="20"/>
          <w:szCs w:val="20"/>
        </w:rPr>
        <w:t>Los Esteros Transmission Project</w:t>
      </w:r>
      <w:r>
        <w:rPr>
          <w:szCs w:val="20"/>
        </w:rPr>
        <w:t xml:space="preserve"> </w:t>
      </w:r>
    </w:p>
    <w:tbl>
      <w:tblPr>
        <w:tblW w:w="4000" w:type="pct"/>
        <w:jc w:val="center"/>
        <w:tblInd w:w="0" w:type="dxa"/>
        <w:tblLayout w:type="fixed"/>
        <w:tblCellMar>
          <w:top w:w="15" w:type="dxa"/>
          <w:start w:w="15" w:type="dxa"/>
          <w:bottom w:w="15" w:type="dxa"/>
          <w:end w:w="15" w:type="dxa"/>
        </w:tblCellMar>
      </w:tblPr>
      <w:tblGrid>
        <w:gridCol w:w="3456"/>
        <w:gridCol w:w="3456"/>
      </w:tblGrid>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b/>
                <w:bCs/>
                <w:i/>
                <w:i/>
                <w:iCs/>
                <w:sz w:val="20"/>
                <w:szCs w:val="20"/>
              </w:rPr>
            </w:pPr>
            <w:r>
              <w:rPr>
                <w:rFonts w:cs="Arial" w:ascii="Arial" w:hAnsi="Arial"/>
                <w:b/>
                <w:bCs/>
                <w:i/>
                <w:iCs/>
                <w:sz w:val="20"/>
                <w:szCs w:val="20"/>
              </w:rPr>
              <w:t>Electricity Needs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Does the project provide needed voltage support?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increases local transmission voltage from 115kV up to 230kV.  Added capacity provides voltage support</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Does it promote the availability of supply?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 increases capacity by 800mW</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Is the location relevant to reliability?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upgrade the local transmission system, including existing transformers, to enhance reliability of the delivery system?</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expand the region’s ability to import additional electricity? (For example, by building a new, high voltage transmission line into the Bay Area.)</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provide relief in a timely manner, relative to other alternatives?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project has recently completed 2 year application process, and will be ready to start construction this Spring.</w:t>
            </w:r>
          </w:p>
        </w:tc>
      </w:tr>
    </w:tbl>
    <w:p>
      <w:pPr>
        <w:pStyle w:val="NormalWeb"/>
        <w:rPr/>
      </w:pPr>
      <w:r>
        <w:rPr/>
        <w:t> </w:t>
      </w:r>
    </w:p>
    <w:tbl>
      <w:tblPr>
        <w:tblW w:w="4000" w:type="pct"/>
        <w:jc w:val="center"/>
        <w:tblInd w:w="0" w:type="dxa"/>
        <w:tblLayout w:type="fixed"/>
        <w:tblCellMar>
          <w:top w:w="15" w:type="dxa"/>
          <w:start w:w="15" w:type="dxa"/>
          <w:bottom w:w="15" w:type="dxa"/>
          <w:end w:w="15" w:type="dxa"/>
        </w:tblCellMar>
      </w:tblPr>
      <w:tblGrid>
        <w:gridCol w:w="3456"/>
        <w:gridCol w:w="3456"/>
      </w:tblGrid>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b/>
                <w:bCs/>
                <w:i/>
                <w:i/>
                <w:iCs/>
                <w:sz w:val="20"/>
                <w:szCs w:val="20"/>
              </w:rPr>
            </w:pPr>
            <w:r>
              <w:rPr>
                <w:rFonts w:cs="Arial" w:ascii="Arial" w:hAnsi="Arial"/>
                <w:b/>
                <w:bCs/>
                <w:i/>
                <w:iCs/>
                <w:sz w:val="20"/>
                <w:szCs w:val="20"/>
              </w:rPr>
              <w:t>Land Use Issues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 Subject Property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r>
      <w:tr>
        <w:trPr>
          <w:trHeight w:val="228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site zoned for this use and is it consistent with the jurisdiction’s General Plan and any applicable community plans?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While the County zoning is Agricultural, the City of San Jose has designated the area as Light Industrial.  Therefore, there is adverse impact due to lost farmland, but this is not considered a significant impact under CEQA.</w:t>
            </w:r>
          </w:p>
        </w:tc>
      </w:tr>
      <w:tr>
        <w:trPr>
          <w:trHeight w:val="142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If not, is the proposed site compatible with neighboring uses? (For example, does it border an area that would permit this use?)</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rHeight w:val="114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there adequate infrastructure, e.g., transmission lines, substation, water, to support the proposed facility?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except for additional transmission lines.</w:t>
            </w:r>
          </w:p>
        </w:tc>
      </w:tr>
      <w:tr>
        <w:trPr>
          <w:trHeight w:val="111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If it does require new infrastructrue, are the secondary negative impacts insignificant or can they be mitigated?</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however there are some impacts that can not be mitigated.</w:t>
            </w:r>
          </w:p>
        </w:tc>
      </w:tr>
      <w:tr>
        <w:trPr>
          <w:trHeight w:val="57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(b) Neighboring Properties / Communities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preclude or discourage other desirable uses in adjoining areas?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 but mitigatable and acceptable</w:t>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siting of the proposed project consistent with other policy objectives of the SVMG?  (For example, does the proposed facility avoid areas that are now, or may be int he future, prime locations for transit-oriented development?)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If there are any negative visual impacts, to what extent can, or should, they be mitigated? (For instance, does the proposal provide for adequate landscaping and buffering?)</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but mitigatable and acceptable. Utilizing streamlined steel pole construction, landscape screening will be used where feasible.</w:t>
            </w:r>
          </w:p>
        </w:tc>
      </w:tr>
    </w:tbl>
    <w:p>
      <w:pPr>
        <w:pStyle w:val="NormalWeb"/>
        <w:rPr/>
      </w:pPr>
      <w:r>
        <w:rPr/>
        <w:t> </w:t>
      </w:r>
    </w:p>
    <w:tbl>
      <w:tblPr>
        <w:tblW w:w="4000" w:type="pct"/>
        <w:jc w:val="center"/>
        <w:tblInd w:w="0" w:type="dxa"/>
        <w:tblLayout w:type="fixed"/>
        <w:tblCellMar>
          <w:top w:w="15" w:type="dxa"/>
          <w:start w:w="15" w:type="dxa"/>
          <w:bottom w:w="15" w:type="dxa"/>
          <w:end w:w="15" w:type="dxa"/>
        </w:tblCellMar>
      </w:tblPr>
      <w:tblGrid>
        <w:gridCol w:w="3456"/>
        <w:gridCol w:w="3456"/>
      </w:tblGrid>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b/>
                <w:bCs/>
                <w:i/>
                <w:i/>
                <w:iCs/>
                <w:sz w:val="20"/>
                <w:szCs w:val="20"/>
              </w:rPr>
            </w:pPr>
            <w:r>
              <w:rPr>
                <w:rFonts w:cs="Arial" w:ascii="Arial" w:hAnsi="Arial"/>
                <w:b/>
                <w:bCs/>
                <w:i/>
                <w:iCs/>
                <w:sz w:val="20"/>
                <w:szCs w:val="20"/>
              </w:rPr>
              <w:t>Environmental Issues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 Air Quality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meet local, state, and federal requirement for air emissions, including Nox, Sox, VOC, particulates, and other trace compounds?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project subject to a regulatory approval process that ensures these standards will be met?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project subject to a regulatory compliance program that includes monitoring, audits, and enforcement?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as the lead agency under CEQA, the CPUC is required to monitor this project during construction and operation to ensure that required mitigation measures are implemented</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improve the overall air quality by providing offsets, short or long term?</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No significant air quality impacts.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(b) Water Quality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meet local, state, and federal requirements for liquid effluents?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What is the impact on the underground water tables?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Some impact during construction of transmission towers, not considered significant.</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What is the impact on the supply of potable water?</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No significant impacts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Are there any other impacts?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Increase of sediment during construction.</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project subject to a regulatory compliance program for water?</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CPUC will be responsible.  Impacts to water quality will be reduced through measures whereby soil and groundwater are tested prior to construction, and site remediation occurs if necessary.</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(c) Hazardous Materials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Are hazardous materials involved?</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No significant impacts.  Some impacts during demolition of existing structures and construction.</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met local, state, and federal requirements for the control and management of hazardous materials?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 Are there any other health and safety concerns?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Electric and Magnetic Fields (EMF)  reasonable mitigation measures will be taken in accordance with CPUC guidelines.</w:t>
            </w:r>
          </w:p>
        </w:tc>
      </w:tr>
    </w:tbl>
    <w:p>
      <w:pPr>
        <w:pStyle w:val="Normal"/>
        <w:ind w:start="720" w:end="720"/>
        <w:rPr/>
      </w:pPr>
      <w:r>
        <w:rPr/>
        <w:t> </w:t>
      </w:r>
    </w:p>
    <w:p>
      <w:pPr>
        <w:pStyle w:val="Normal"/>
        <w:ind w:start="720" w:end="720"/>
        <w:rPr/>
      </w:pPr>
      <w:r>
        <w:rPr/>
        <w:t> </w:t>
      </w:r>
    </w:p>
    <w:p>
      <w:pPr>
        <w:pStyle w:val="Normal"/>
        <w:spacing w:before="280" w:after="280"/>
        <w:ind w:start="720" w:end="720"/>
        <w:rPr/>
      </w:pPr>
      <w:r>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
        <w:ind w:start="720" w:end="720"/>
        <w:rPr/>
      </w:pPr>
      <w:r>
        <w:rPr/>
        <w:t> </w:t>
      </w:r>
    </w:p>
    <w:p>
      <w:pPr>
        <w:pStyle w:val="Normal"/>
        <w:ind w:start="720" w:end="720"/>
        <w:rPr/>
      </w:pPr>
      <w:r>
        <w:rPr/>
        <w:t> </w:t>
      </w:r>
    </w:p>
    <w:p>
      <w:pPr>
        <w:pStyle w:val="Normal"/>
        <w:ind w:start="720" w:end="720"/>
        <w:jc w:val="center"/>
        <w:rPr/>
      </w:pPr>
      <w:r>
        <w:rPr>
          <w:rFonts w:cs="Arial" w:ascii="Arial" w:hAnsi="Arial"/>
          <w:b/>
          <w:bCs/>
          <w:sz w:val="27"/>
          <w:szCs w:val="27"/>
        </w:rPr>
        <w:t>Metcalf Energy Center</w:t>
      </w:r>
      <w:r>
        <w:rPr>
          <w:rFonts w:cs="Arial" w:ascii="Arial" w:hAnsi="Arial"/>
          <w:color w:val="000000"/>
          <w:sz w:val="20"/>
          <w:szCs w:val="20"/>
        </w:rPr>
        <w:t xml:space="preserve"> </w:t>
      </w:r>
    </w:p>
    <w:p>
      <w:pPr>
        <w:pStyle w:val="Normal"/>
        <w:ind w:start="720" w:end="720"/>
        <w:rPr>
          <w:rFonts w:ascii="Arial" w:hAnsi="Arial" w:cs="Arial"/>
          <w:vanish/>
          <w:color w:val="000000"/>
          <w:sz w:val="20"/>
          <w:szCs w:val="20"/>
        </w:rPr>
      </w:pPr>
      <w:r>
        <w:rPr>
          <w:rFonts w:cs="Arial" w:ascii="Arial" w:hAnsi="Arial"/>
          <w:vanish/>
          <w:color w:val="000000"/>
          <w:sz w:val="20"/>
          <w:szCs w:val="20"/>
        </w:rPr>
        <w:t> </w:t>
      </w:r>
      <w:r>
        <w:rPr>
          <w:rFonts w:eastAsia="Arial" w:cs="Arial" w:ascii="Arial" w:hAnsi="Arial"/>
          <w:vanish/>
          <w:color w:val="000000"/>
          <w:sz w:val="20"/>
          <w:szCs w:val="20"/>
        </w:rPr>
        <w:t xml:space="preserve"> </w:t>
      </w:r>
    </w:p>
    <w:p>
      <w:pPr>
        <w:pStyle w:val="Normal"/>
        <w:tabs>
          <w:tab w:val="clear" w:pos="720"/>
          <w:tab w:val="left" w:pos="1980" w:leader="none"/>
        </w:tabs>
        <w:ind w:start="720" w:end="720"/>
        <w:rPr>
          <w:rFonts w:ascii="Arial" w:hAnsi="Arial" w:cs="Arial"/>
          <w:b/>
          <w:sz w:val="20"/>
          <w:szCs w:val="20"/>
        </w:rPr>
      </w:pPr>
      <w:r>
        <w:rPr>
          <w:rFonts w:cs="Arial" w:ascii="Arial" w:hAnsi="Arial"/>
          <w:b/>
          <w:sz w:val="20"/>
          <w:szCs w:val="20"/>
        </w:rPr>
        <w:t xml:space="preserve">Summary of Criteria Review: </w:t>
      </w:r>
    </w:p>
    <w:p>
      <w:pPr>
        <w:pStyle w:val="Normal"/>
        <w:tabs>
          <w:tab w:val="clear" w:pos="720"/>
          <w:tab w:val="left" w:pos="1980" w:leader="none"/>
        </w:tabs>
        <w:ind w:start="720" w:end="720"/>
        <w:rPr>
          <w:rFonts w:ascii="Arial" w:hAnsi="Arial" w:cs="Arial"/>
          <w:b/>
          <w:sz w:val="20"/>
          <w:szCs w:val="20"/>
        </w:rPr>
      </w:pPr>
      <w:r>
        <w:rPr>
          <w:rFonts w:cs="Arial" w:ascii="Arial" w:hAnsi="Arial"/>
          <w:b/>
          <w:sz w:val="20"/>
          <w:szCs w:val="20"/>
        </w:rPr>
        <w:t> </w:t>
      </w:r>
      <w:r>
        <w:rPr>
          <w:rFonts w:eastAsia="Arial" w:cs="Arial" w:ascii="Arial" w:hAnsi="Arial"/>
          <w:b/>
          <w:sz w:val="20"/>
          <w:szCs w:val="20"/>
        </w:rPr>
        <w:t xml:space="preserve"> </w:t>
      </w:r>
    </w:p>
    <w:p>
      <w:pPr>
        <w:pStyle w:val="BodyText3"/>
        <w:spacing w:before="0" w:after="0"/>
        <w:ind w:start="720" w:end="720"/>
        <w:rPr>
          <w:rFonts w:ascii="Arial" w:hAnsi="Arial" w:cs="Arial"/>
          <w:sz w:val="20"/>
          <w:szCs w:val="20"/>
        </w:rPr>
      </w:pPr>
      <w:r>
        <w:rPr>
          <w:rFonts w:cs="Arial" w:ascii="Arial" w:hAnsi="Arial"/>
          <w:sz w:val="20"/>
          <w:szCs w:val="20"/>
        </w:rPr>
        <w:t>The EISC reviewed MEC against the project criteria approved by SVMG’s membership on December 7, and summarized their findings by category of criteria as follows:</w:t>
      </w:r>
    </w:p>
    <w:p>
      <w:pPr>
        <w:pStyle w:val="BodyText3"/>
        <w:spacing w:before="0" w:after="0"/>
        <w:ind w:start="720" w:end="720"/>
        <w:rPr>
          <w:rFonts w:ascii="Arial" w:hAnsi="Arial" w:cs="Arial"/>
          <w:sz w:val="20"/>
          <w:szCs w:val="20"/>
        </w:rPr>
      </w:pPr>
      <w:r>
        <w:rPr>
          <w:rFonts w:cs="Arial" w:ascii="Arial" w:hAnsi="Arial"/>
          <w:sz w:val="20"/>
          <w:szCs w:val="20"/>
        </w:rPr>
        <w:t> </w:t>
      </w:r>
      <w:r>
        <w:rPr>
          <w:rFonts w:eastAsia="Arial" w:cs="Arial" w:ascii="Arial" w:hAnsi="Arial"/>
          <w:sz w:val="20"/>
          <w:szCs w:val="20"/>
        </w:rPr>
        <w:t xml:space="preserve"> </w:t>
      </w:r>
    </w:p>
    <w:p>
      <w:pPr>
        <w:pStyle w:val="BodyText3"/>
        <w:tabs>
          <w:tab w:val="clear" w:pos="720"/>
          <w:tab w:val="left" w:pos="360" w:leader="none"/>
          <w:tab w:val="left" w:pos="1980" w:leader="none"/>
        </w:tabs>
        <w:spacing w:before="0" w:after="0"/>
        <w:ind w:hanging="360" w:start="1080" w:end="720"/>
        <w:rPr/>
      </w:pPr>
      <w:r>
        <w:rPr>
          <w:rFonts w:cs="Arial" w:ascii="Arial" w:hAnsi="Arial"/>
          <w:sz w:val="20"/>
          <w:szCs w:val="20"/>
        </w:rPr>
        <w:t xml:space="preserve">1.      </w:t>
      </w:r>
      <w:r>
        <w:rPr>
          <w:rFonts w:cs="Arial" w:ascii="Arial" w:hAnsi="Arial"/>
          <w:sz w:val="20"/>
          <w:szCs w:val="20"/>
          <w:u w:val="single"/>
        </w:rPr>
        <w:t>Need for electricity</w:t>
      </w:r>
      <w:r>
        <w:rPr>
          <w:rFonts w:cs="Arial" w:ascii="Arial" w:hAnsi="Arial"/>
          <w:sz w:val="20"/>
          <w:szCs w:val="20"/>
        </w:rPr>
        <w:t>. The EISC believes that the preponderance of evidence and opinion strongly suggests that a local power plant is essential to meet the unique needs of Silicon Valley. Importing electricity and stabilizing voltage levels by other means is a far less desirable option. Other options are important but not sufficient by themselves.</w:t>
      </w:r>
    </w:p>
    <w:p>
      <w:pPr>
        <w:pStyle w:val="BodyText3"/>
        <w:tabs>
          <w:tab w:val="clear" w:pos="720"/>
          <w:tab w:val="left" w:pos="360" w:leader="none"/>
          <w:tab w:val="left" w:pos="1980" w:leader="none"/>
        </w:tabs>
        <w:spacing w:before="0" w:after="0"/>
        <w:ind w:hanging="360" w:start="1080" w:end="720"/>
        <w:rPr/>
      </w:pPr>
      <w:r>
        <w:rPr>
          <w:rFonts w:cs="Arial" w:ascii="Arial" w:hAnsi="Arial"/>
          <w:sz w:val="20"/>
          <w:szCs w:val="20"/>
        </w:rPr>
        <w:t xml:space="preserve">2.      </w:t>
      </w:r>
      <w:r>
        <w:rPr>
          <w:rFonts w:cs="Arial" w:ascii="Arial" w:hAnsi="Arial"/>
          <w:sz w:val="20"/>
          <w:szCs w:val="20"/>
          <w:u w:val="single"/>
        </w:rPr>
        <w:t>Environmental Issues: Is the public’s health at risk?</w:t>
      </w:r>
      <w:r>
        <w:rPr>
          <w:rFonts w:cs="Arial" w:ascii="Arial" w:hAnsi="Arial"/>
          <w:sz w:val="20"/>
          <w:szCs w:val="20"/>
        </w:rPr>
        <w:t xml:space="preserve"> The EISC believes that all environmental requirements have been met, as evidenced by the Final Determination of Compliance issued by the BAAQMD. Moreover, the EISC believes that operation of MEC will provide substantial environmental benefits by reducing the use of older and dirtier power plants and back up diesel generators; and by improving the environmental prospects for the salt marsh in the South Bay by decreasing the fresh water discharge from the San Jose Water Treatment Plant.</w:t>
      </w:r>
    </w:p>
    <w:p>
      <w:pPr>
        <w:pStyle w:val="BodyText3"/>
        <w:tabs>
          <w:tab w:val="clear" w:pos="720"/>
          <w:tab w:val="left" w:pos="360" w:leader="none"/>
          <w:tab w:val="left" w:pos="1980" w:leader="none"/>
        </w:tabs>
        <w:spacing w:before="0" w:after="0"/>
        <w:ind w:hanging="360" w:start="1080" w:end="720"/>
        <w:rPr/>
      </w:pPr>
      <w:r>
        <w:rPr>
          <w:rFonts w:cs="Arial" w:ascii="Arial" w:hAnsi="Arial"/>
          <w:sz w:val="20"/>
          <w:szCs w:val="20"/>
        </w:rPr>
        <w:t xml:space="preserve">3.     </w:t>
      </w:r>
      <w:r>
        <w:rPr>
          <w:rFonts w:cs="Arial" w:ascii="Arial" w:hAnsi="Arial"/>
          <w:sz w:val="20"/>
          <w:szCs w:val="20"/>
          <w:u w:val="single"/>
        </w:rPr>
        <w:t>Land Use Issues: Is this a suitable place for a power plant?</w:t>
      </w:r>
      <w:r>
        <w:rPr>
          <w:rFonts w:cs="Arial" w:ascii="Arial" w:hAnsi="Arial"/>
          <w:sz w:val="20"/>
          <w:szCs w:val="20"/>
        </w:rPr>
        <w:t xml:space="preserve">  Opponents of MEC argue that a power plant is incompatible with the uses envisioned for Coyote Valley. Specifically, opponents argue that Coyote Valley has been planned to be a world class, high tech campus. The proximity of the power plant will detract from the economic development potential of the area. Proponents argue that the site’s proximity to the Metcalf substation and overhead transmission lines makes this an ideal location in terms of land use. Proponents also argue that modern day power plants have a much smaller footprint and a more aesthetic look. </w:t>
      </w:r>
    </w:p>
    <w:p>
      <w:pPr>
        <w:pStyle w:val="BodyText3"/>
        <w:spacing w:before="0" w:after="0"/>
        <w:ind w:start="1080" w:end="720"/>
        <w:rPr>
          <w:rFonts w:ascii="Arial" w:hAnsi="Arial" w:cs="Arial"/>
          <w:sz w:val="20"/>
          <w:szCs w:val="20"/>
        </w:rPr>
      </w:pPr>
      <w:r>
        <w:rPr>
          <w:rFonts w:cs="Arial" w:ascii="Arial" w:hAnsi="Arial"/>
          <w:sz w:val="20"/>
          <w:szCs w:val="20"/>
        </w:rPr>
        <w:t>The EISC respects the arguments made by the opponents but believes that the power plant will not significantly detract from Coyote Valley’s potential, especially in light of the surrounding substation and transmission lines. In fact, the EISC believes that MEC will enhance the economic potential of Coyote Valley and the San Jose/Silicon Valley community at large by providing a local source of reliable, low-cost electricity.</w:t>
      </w:r>
    </w:p>
    <w:p>
      <w:pPr>
        <w:pStyle w:val="BodyText3"/>
        <w:spacing w:before="0" w:after="0"/>
        <w:ind w:start="1080" w:end="720"/>
        <w:rPr>
          <w:rFonts w:ascii="Arial" w:hAnsi="Arial" w:cs="Arial"/>
          <w:sz w:val="20"/>
          <w:szCs w:val="20"/>
        </w:rPr>
      </w:pPr>
      <w:r>
        <w:rPr>
          <w:rFonts w:cs="Arial" w:ascii="Arial" w:hAnsi="Arial"/>
          <w:sz w:val="20"/>
          <w:szCs w:val="20"/>
        </w:rPr>
        <w:t>Finally, the CEC staff found that there are similar land use issues associated with other potential sites. The EISC believes that there may be issues of environmental justice associated with some of these other sites.</w:t>
      </w:r>
    </w:p>
    <w:p>
      <w:pPr>
        <w:pStyle w:val="BodyText3"/>
        <w:spacing w:before="0" w:after="0"/>
        <w:ind w:start="360" w:end="0"/>
        <w:jc w:val="center"/>
        <w:rPr>
          <w:rFonts w:ascii="Arial" w:hAnsi="Arial" w:cs="Arial"/>
          <w:b/>
          <w:bCs/>
          <w:sz w:val="20"/>
          <w:szCs w:val="20"/>
        </w:rPr>
      </w:pPr>
      <w:r>
        <w:rPr>
          <w:rFonts w:cs="Arial" w:ascii="Arial" w:hAnsi="Arial"/>
          <w:b/>
          <w:bCs/>
          <w:sz w:val="20"/>
          <w:szCs w:val="20"/>
        </w:rPr>
        <w:t>Alternatives to the Energy Project </w:t>
      </w:r>
    </w:p>
    <w:p>
      <w:pPr>
        <w:pStyle w:val="BodyText3"/>
        <w:spacing w:before="0" w:after="0"/>
        <w:ind w:start="360" w:end="0"/>
        <w:rPr/>
      </w:pPr>
      <w:r>
        <w:rPr/>
        <w:t> </w:t>
      </w:r>
    </w:p>
    <w:tbl>
      <w:tblPr>
        <w:tblW w:w="4000" w:type="pct"/>
        <w:jc w:val="center"/>
        <w:tblInd w:w="0" w:type="dxa"/>
        <w:tblLayout w:type="fixed"/>
        <w:tblCellMar>
          <w:top w:w="15" w:type="dxa"/>
          <w:start w:w="15" w:type="dxa"/>
          <w:bottom w:w="15" w:type="dxa"/>
          <w:end w:w="15" w:type="dxa"/>
        </w:tblCellMar>
      </w:tblPr>
      <w:tblGrid>
        <w:gridCol w:w="3456"/>
        <w:gridCol w:w="3456"/>
      </w:tblGrid>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1</w:t>
            </w:r>
            <w:r>
              <w:rPr>
                <w:rFonts w:cs="Arial" w:ascii="Arial" w:hAnsi="Arial"/>
                <w:sz w:val="20"/>
                <w:szCs w:val="20"/>
              </w:rPr>
              <w:t>:  Build power plants in other parts of the state</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This option doesn’t provide sufficient voltage support; congestion in the current transmission system requires new high voltage lines to be able to import this power; and local generation is needed to serve local loads.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2</w:t>
            </w:r>
            <w:r>
              <w:rPr>
                <w:rFonts w:cs="Arial" w:ascii="Arial" w:hAnsi="Arial"/>
                <w:sz w:val="20"/>
                <w:szCs w:val="20"/>
              </w:rPr>
              <w:t>: Build this power plant in another location within the Silicon Valley area</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sz w:val="20"/>
                <w:szCs w:val="20"/>
              </w:rPr>
              <w:t xml:space="preserve">This option addresses the problems identified with alternative 1. However, no such site has been identified to date and the CEC staff has stated in its Final Staff Assessment (FSA) that 17 other potential sites that it looked at “would not be in conformance with all local land use requirements, and may have issues regarding environmental justice and visual impacts.” </w:t>
            </w:r>
            <w:r>
              <w:rPr>
                <w:rFonts w:cs="Arial" w:ascii="Arial" w:hAnsi="Arial"/>
                <w:i/>
                <w:sz w:val="20"/>
                <w:szCs w:val="20"/>
              </w:rPr>
              <w:t>Page 7 of Executive Summary, FSA</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3</w:t>
            </w:r>
            <w:r>
              <w:rPr>
                <w:rFonts w:cs="Arial" w:ascii="Arial" w:hAnsi="Arial"/>
                <w:sz w:val="20"/>
                <w:szCs w:val="20"/>
              </w:rPr>
              <w:t>:  Upgrade transformers at Metcalf and Newark substations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Prevents overloading of these transformers for the current level of imports; may provide a small increase in import capability.</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4</w:t>
            </w:r>
            <w:r>
              <w:rPr>
                <w:rFonts w:cs="Arial" w:ascii="Arial" w:hAnsi="Arial"/>
                <w:sz w:val="20"/>
                <w:szCs w:val="20"/>
              </w:rPr>
              <w:t>: Build additional high voltage lines to import more electricity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Cal-ISO estimates that it would take 7 years to build high voltage lines. This option does not provide sufficient voltage support; must be coupled with significant increase in local transmission systems; has land use and environmental issues.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5</w:t>
            </w:r>
            <w:r>
              <w:rPr>
                <w:rFonts w:cs="Arial" w:ascii="Arial" w:hAnsi="Arial"/>
                <w:sz w:val="20"/>
                <w:szCs w:val="20"/>
              </w:rPr>
              <w:t>:  Build smaller projects dispersed throughout region</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This is the distributed generation option. It will be an important option for large businesses in the future and should be encouraged. Limited availability today due to cost, regulatory and interconnection issues. Not a realistic option for small businesses and for residential users.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6</w:t>
            </w:r>
            <w:r>
              <w:rPr>
                <w:rFonts w:cs="Arial" w:ascii="Arial" w:hAnsi="Arial"/>
                <w:sz w:val="20"/>
                <w:szCs w:val="20"/>
              </w:rPr>
              <w:t>:  Load reduction programs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These are important measures to help meet the current crisis and good for controlling costs in the future. However, the need for power in Silicon Valley today and in the future cannot be met solely through reductions of usage.</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b/>
                <w:sz w:val="20"/>
                <w:szCs w:val="20"/>
              </w:rPr>
              <w:t>Alternative 7</w:t>
            </w:r>
            <w:r>
              <w:rPr>
                <w:rFonts w:cs="Arial" w:ascii="Arial" w:hAnsi="Arial"/>
                <w:sz w:val="20"/>
                <w:szCs w:val="20"/>
              </w:rPr>
              <w:t>: Use diesel generators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Diesel generators would be used by local businesses only back up power for emergency situations (grid not available). Use limited by BAAQMD air requirements.</w:t>
            </w:r>
          </w:p>
        </w:tc>
      </w:tr>
    </w:tbl>
    <w:p>
      <w:pPr>
        <w:pStyle w:val="Normal"/>
        <w:tabs>
          <w:tab w:val="clear" w:pos="720"/>
          <w:tab w:val="left" w:pos="1980" w:leader="none"/>
        </w:tabs>
        <w:spacing w:before="280" w:after="280"/>
        <w:ind w:start="720" w:end="720"/>
        <w:rPr/>
      </w:pPr>
      <w:r>
        <w:rPr>
          <w:rFonts w:cs="Arial" w:ascii="Arial" w:hAnsi="Arial"/>
          <w:b/>
          <w:sz w:val="20"/>
          <w:szCs w:val="20"/>
        </w:rPr>
        <w:t>Recommendation/Next Steps</w:t>
      </w:r>
      <w:r>
        <w:rPr>
          <w:rFonts w:cs="Arial" w:ascii="Arial" w:hAnsi="Arial"/>
          <w:sz w:val="20"/>
          <w:szCs w:val="20"/>
        </w:rPr>
        <w:t xml:space="preserve"> </w:t>
      </w:r>
    </w:p>
    <w:p>
      <w:pPr>
        <w:pStyle w:val="Normal"/>
        <w:spacing w:before="280" w:after="280"/>
        <w:ind w:start="720" w:end="720"/>
        <w:rPr/>
      </w:pPr>
      <w:r>
        <w:rPr>
          <w:rFonts w:cs="Arial" w:ascii="Arial" w:hAnsi="Arial"/>
          <w:sz w:val="20"/>
          <w:szCs w:val="20"/>
        </w:rPr>
        <w:t>Approve or approve with comments the evaluation of the MEC against the project criteria, especially the environmental criteria. The recommendation of the EISC, with the comments of the Environmental Committee included, will be submitted to the Energy Committee for inclusion in its recommendation to the Working Council. This recommendation will be forwarded to the Working Council for its review and approval at its March 1</w:t>
      </w:r>
      <w:r>
        <w:rPr>
          <w:rFonts w:cs="Arial" w:ascii="Arial" w:hAnsi="Arial"/>
          <w:sz w:val="20"/>
          <w:szCs w:val="20"/>
          <w:vertAlign w:val="superscript"/>
        </w:rPr>
        <w:t>st</w:t>
      </w:r>
      <w:r>
        <w:rPr>
          <w:rFonts w:cs="Arial" w:ascii="Arial" w:hAnsi="Arial"/>
          <w:sz w:val="20"/>
          <w:szCs w:val="20"/>
        </w:rPr>
        <w:t xml:space="preserve"> meeting.</w:t>
      </w:r>
      <w:r>
        <w:rPr/>
        <w:t xml:space="preserve"> </w:t>
      </w:r>
    </w:p>
    <w:p>
      <w:pPr>
        <w:pStyle w:val="NormalWeb"/>
        <w:ind w:start="720" w:end="720"/>
        <w:rPr/>
      </w:pPr>
      <w:r>
        <w:rPr/>
        <w:t> </w:t>
      </w:r>
    </w:p>
    <w:p>
      <w:pPr>
        <w:pStyle w:val="NormalWeb"/>
        <w:jc w:val="center"/>
        <w:rPr/>
      </w:pPr>
      <w:r>
        <w:rPr>
          <w:rFonts w:cs="Arial" w:ascii="Arial" w:hAnsi="Arial"/>
          <w:b/>
          <w:bCs/>
          <w:sz w:val="20"/>
          <w:szCs w:val="20"/>
        </w:rPr>
        <w:t>Detailed Evaluation of the Metcalf Energy Center to SVMG Project Evaluation</w:t>
      </w:r>
      <w:r>
        <w:rPr/>
        <w:t xml:space="preserve"> </w:t>
      </w:r>
      <w:r>
        <w:rPr>
          <w:rFonts w:cs="Arial" w:ascii="Arial" w:hAnsi="Arial"/>
          <w:b/>
          <w:bCs/>
          <w:sz w:val="20"/>
          <w:szCs w:val="20"/>
        </w:rPr>
        <w:t>Criteria</w:t>
      </w:r>
    </w:p>
    <w:tbl>
      <w:tblPr>
        <w:tblW w:w="4000" w:type="pct"/>
        <w:jc w:val="center"/>
        <w:tblInd w:w="0" w:type="dxa"/>
        <w:tblLayout w:type="fixed"/>
        <w:tblCellMar>
          <w:top w:w="15" w:type="dxa"/>
          <w:start w:w="15" w:type="dxa"/>
          <w:bottom w:w="15" w:type="dxa"/>
          <w:end w:w="15" w:type="dxa"/>
        </w:tblCellMar>
      </w:tblPr>
      <w:tblGrid>
        <w:gridCol w:w="3456"/>
        <w:gridCol w:w="3456"/>
      </w:tblGrid>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b/>
                <w:bCs/>
                <w:i/>
                <w:i/>
                <w:iCs/>
                <w:sz w:val="20"/>
                <w:szCs w:val="20"/>
              </w:rPr>
            </w:pPr>
            <w:r>
              <w:rPr>
                <w:rFonts w:cs="Arial" w:ascii="Arial" w:hAnsi="Arial"/>
                <w:b/>
                <w:bCs/>
                <w:i/>
                <w:iCs/>
                <w:sz w:val="20"/>
                <w:szCs w:val="20"/>
              </w:rPr>
              <w:t>Electricity Needs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Does the project provide needed voltage support?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Silicon Valley is in need of voltage support. Local power plants, according to CAISO, are by far the best way to provide this. Imported electricity does not help.</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Does it promote the availability of supply?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MEC represents 600 MWs, all of which will be consumed in Silicon Valley according to a Calpine funded study.</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Is the location relevant to reliability?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pPr>
            <w:r>
              <w:rPr>
                <w:rFonts w:cs="Arial" w:ascii="Arial" w:hAnsi="Arial"/>
                <w:sz w:val="20"/>
                <w:szCs w:val="20"/>
              </w:rPr>
              <w:t> </w:t>
            </w:r>
            <w:r>
              <w:rPr>
                <w:rFonts w:cs="Arial" w:ascii="Arial" w:hAnsi="Arial"/>
                <w:color w:val="000000"/>
                <w:sz w:val="20"/>
                <w:szCs w:val="20"/>
              </w:rPr>
              <w:t>Very much so. MEC is within the electrical boundaries that separate Silicon Valley from the rest of the state. The SVMG believes that local power plants are needed to meet local loads.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upgrade the local transmission system, including existing transformers, to enhance reliability of the delivery system?</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Although not a transmission project, MEC will upgrade the performance and reliability of the local transmission system by relieving the stress placed upon it by the high level of imports.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expand the region’s ability to import additional electricity? (For example, by building a new, high voltage transmission line into the Bay Area.)</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Not Applicable</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provide relief in a timely manner, relative to other alternatives?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MEC has been in the permitting process for nearly 2 years and the final decision is expected in June. At a minimum, it would take 1 to 2 years to find and permit another location.</w:t>
            </w:r>
          </w:p>
        </w:tc>
      </w:tr>
    </w:tbl>
    <w:p>
      <w:pPr>
        <w:pStyle w:val="NormalWeb"/>
        <w:rPr/>
      </w:pPr>
      <w:r>
        <w:rPr/>
        <w:t> </w:t>
      </w:r>
    </w:p>
    <w:tbl>
      <w:tblPr>
        <w:tblW w:w="4000" w:type="pct"/>
        <w:jc w:val="center"/>
        <w:tblInd w:w="0" w:type="dxa"/>
        <w:tblLayout w:type="fixed"/>
        <w:tblCellMar>
          <w:top w:w="15" w:type="dxa"/>
          <w:start w:w="15" w:type="dxa"/>
          <w:bottom w:w="15" w:type="dxa"/>
          <w:end w:w="15" w:type="dxa"/>
        </w:tblCellMar>
      </w:tblPr>
      <w:tblGrid>
        <w:gridCol w:w="3456"/>
        <w:gridCol w:w="3456"/>
      </w:tblGrid>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b/>
                <w:bCs/>
                <w:i/>
                <w:i/>
                <w:iCs/>
                <w:sz w:val="20"/>
                <w:szCs w:val="20"/>
              </w:rPr>
            </w:pPr>
            <w:r>
              <w:rPr>
                <w:rFonts w:cs="Arial" w:ascii="Arial" w:hAnsi="Arial"/>
                <w:b/>
                <w:bCs/>
                <w:i/>
                <w:iCs/>
                <w:sz w:val="20"/>
                <w:szCs w:val="20"/>
              </w:rPr>
              <w:t>Land Use Issues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 Subject Property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r>
      <w:tr>
        <w:trPr>
          <w:trHeight w:val="228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site zoned for this use and is it consistent with the jurisdiction’s General Plan and any applicable community plans?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No. A General Plan amendment and a zoning change are required to make if conforming. These changes were denied by the San Jose City Council.</w:t>
            </w:r>
          </w:p>
        </w:tc>
      </w:tr>
      <w:tr>
        <w:trPr>
          <w:trHeight w:val="142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If not, is the proposed site compatible with neighboring uses? (For example, does it border an area that would permit this use?)</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As described earlier in this report, the EISC believes that a power plant is indeed compatible, particularly since it located adjacent to an existing substation and transmission corridor.</w:t>
            </w:r>
          </w:p>
        </w:tc>
      </w:tr>
      <w:tr>
        <w:trPr>
          <w:trHeight w:val="114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there adequate infrastructure, e.g., transmission lines, substation, water, to support the proposed facility?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with the exception of the building of a 10 mile water pipeline by Calpine/Bechtel to provide recycled water to meet the plant’s cooling requirements. Use of recycled water has the beneficial effect of effectively creating additional water capacity in the area by reducing the demands on San Jose’s water treatment plant.</w:t>
            </w:r>
          </w:p>
        </w:tc>
      </w:tr>
      <w:tr>
        <w:trPr>
          <w:trHeight w:val="111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If it does require new infrastructure, are the secondary negative impacts insignificant or can they be mitigated?</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No new infrastructure is required.</w:t>
            </w:r>
          </w:p>
        </w:tc>
      </w:tr>
      <w:tr>
        <w:trPr>
          <w:trHeight w:val="570"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(b) Neighboring Properties / Communities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snapToGrid w:val="false"/>
              <w:rPr/>
            </w:pPr>
            <w:r>
              <w:rPr/>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preclude or discourage other desirable uses in adjoining areas?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As described above, there are legitimate arguments on both sides of this issue. The EISC believes that the uses envisioned for  Coyote Valley will not be significantly discouraged and, in fact, may be helped by providing a source of electricity for new uses.</w:t>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siting of the proposed project consistent with other policy objectives of the SVMG?  (For example, does the proposed facility avoid areas that are now, or may be in the future, prime locations for transit-oriented development?)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There are no other reasonable uses for this land, including any related to transportation.</w:t>
            </w:r>
          </w:p>
        </w:tc>
      </w:tr>
      <w:tr>
        <w:trPr>
          <w:trHeight w:val="285" w:hRule="atLeast"/>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If there are any negative visual impacts, to what extent can, or should, they be mitigated? (For instance, does the proposal provide for adequate landscaping and buffering?)</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The CEC staff found that there would be visual impacts. The EISC notes that this visual impacts  is consistent with existing visual effects (transmission lines, substation.)</w:t>
            </w:r>
          </w:p>
        </w:tc>
      </w:tr>
    </w:tbl>
    <w:p>
      <w:pPr>
        <w:pStyle w:val="NormalWeb"/>
        <w:rPr/>
      </w:pPr>
      <w:r>
        <w:rPr/>
        <w:t> </w:t>
      </w:r>
    </w:p>
    <w:tbl>
      <w:tblPr>
        <w:tblW w:w="4000" w:type="pct"/>
        <w:jc w:val="center"/>
        <w:tblInd w:w="0" w:type="dxa"/>
        <w:tblLayout w:type="fixed"/>
        <w:tblCellMar>
          <w:top w:w="15" w:type="dxa"/>
          <w:start w:w="15" w:type="dxa"/>
          <w:bottom w:w="15" w:type="dxa"/>
          <w:end w:w="15" w:type="dxa"/>
        </w:tblCellMar>
      </w:tblPr>
      <w:tblGrid>
        <w:gridCol w:w="3456"/>
        <w:gridCol w:w="3456"/>
      </w:tblGrid>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b/>
                <w:bCs/>
                <w:i/>
                <w:i/>
                <w:iCs/>
                <w:sz w:val="20"/>
                <w:szCs w:val="20"/>
              </w:rPr>
            </w:pPr>
            <w:r>
              <w:rPr>
                <w:rFonts w:cs="Arial" w:ascii="Arial" w:hAnsi="Arial"/>
                <w:b/>
                <w:bCs/>
                <w:i/>
                <w:iCs/>
                <w:sz w:val="20"/>
                <w:szCs w:val="20"/>
              </w:rPr>
              <w:t>Environmental Issues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 Air Quality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meet local, state, and federal requirement for air emissions, including Nox, Sox, VOC, particulates, and other trace compounds?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The BAAQMD report concluded that these requirements were met. The EISC and the Environmental committee reviewed these issues in detail and believe that all issues have been put to rest.</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project subject to a regulatory approval process that ensures these standards will be met?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as stated in the Final Determination of Compliance (FDC) issued by the BAAQMD.</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project subject to a regulatory compliance program that includes monitoring, audits, and enforcement?</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as stated in the Final Determination of Compliance (FDC) issued by the BAAQMD.</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improve the overall air quality by providing offsets, short or long term?</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as stated in the Final Determination of Compliance (FDC) issued by the BAAQMD.</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(b) Water Quality</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meet local, state, and federal requirements for liquid effluents?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Yes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What is the impact on the underground water tables?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MEC may draw upon the water table but not significantly.</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What is the impact on the supply of potable water?</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The need for potable water at the plant is not significant.</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Are there any other impacts?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 xml:space="preserve">The water returned to the water system will be treated to ensure it’s salinity remains within the limits imposed by the City of San Jose.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Is the project subject to a regulatory compliance program for water?</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The City of San Jose has such a program.</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(c) Hazardous Materials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 </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Are hazardous materials involved?</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Ammonia is used in to reduce the emission of Nox. However, ammonia is routinely used in industry and poses no special problem or hazard.</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Does the project met local, state, and federal requirements for the control and management of hazardous materials?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Yes. The delivery of ammonia to the plant, for example, will be subject to these requirements.</w:t>
            </w:r>
          </w:p>
        </w:tc>
      </w:tr>
      <w:tr>
        <w:trPr/>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sz w:val="20"/>
                <w:szCs w:val="20"/>
              </w:rPr>
            </w:pPr>
            <w:r>
              <w:rPr>
                <w:rFonts w:cs="Arial" w:ascii="Arial" w:hAnsi="Arial"/>
                <w:sz w:val="20"/>
                <w:szCs w:val="20"/>
              </w:rPr>
              <w:t>(d) Are there any other health and safety concerns?</w:t>
            </w:r>
          </w:p>
        </w:tc>
        <w:tc>
          <w:tcPr>
            <w:tcW w:w="34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rPr>
                <w:rFonts w:ascii="Arial" w:hAnsi="Arial" w:cs="Arial"/>
                <w:color w:val="000000"/>
                <w:sz w:val="20"/>
                <w:szCs w:val="20"/>
              </w:rPr>
            </w:pPr>
            <w:r>
              <w:rPr>
                <w:rFonts w:cs="Arial" w:ascii="Arial" w:hAnsi="Arial"/>
                <w:color w:val="000000"/>
                <w:sz w:val="20"/>
                <w:szCs w:val="20"/>
              </w:rPr>
              <w:t>Opponents have objected to the plant on the grounds that excessive amounts of formaldehyde will be produced. This has not been substantiated. In any event, this could only happen if the plant’s operations were to be cycled as opposed to base load operation. Calpine has stated for purposes of the CEC hearings that MEC will not be cycled.</w:t>
            </w:r>
          </w:p>
        </w:tc>
      </w:tr>
    </w:tbl>
    <w:p>
      <w:pPr>
        <w:pStyle w:val="NormalWeb"/>
        <w:rPr/>
      </w:pPr>
      <w:r>
        <w:rPr/>
        <w:t> </w:t>
      </w:r>
    </w:p>
    <w:p>
      <w:pPr>
        <w:pStyle w:val="NormalWeb"/>
        <w:rPr/>
      </w:pPr>
      <w:r>
        <w:rPr/>
        <w: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BodyText3">
    <w:name w:val="Body Text 3"/>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2001-03-08T21:01:00Z</dcterms:created>
  <dc:creator>Michelle Montague-Bruno</dc:creator>
  <dc:description/>
  <dc:language>en-CA</dc:language>
  <cp:lastModifiedBy>Michelle Montague-Bruno</cp:lastModifiedBy>
  <dcterms:modified xsi:type="dcterms:W3CDTF">2001-03-08T21:03:00Z</dcterms:modified>
  <cp:revision>1</cp:revision>
  <dc:subject/>
  <dc:title>SVMG’S THOUGHTFUL ANALYSIS LEADS TO SUPPORT OF LOCAL GENERATION AND TRANSMISSION PROPOSALS</dc:title>
</cp:coreProperties>
</file>