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bCs/>
        </w:rPr>
        <w:t>MEMO TO:</w:t>
        <w:tab/>
      </w:r>
      <w:r>
        <w:rPr/>
        <w:t>Steve Kean, Paul Kaufman</w:t>
      </w:r>
    </w:p>
    <w:p>
      <w:pPr>
        <w:pStyle w:val="Normal"/>
        <w:rPr>
          <w:b/>
          <w:bCs/>
        </w:rPr>
      </w:pPr>
      <w:r>
        <w:rPr>
          <w:b/>
          <w:bCs/>
        </w:rPr>
      </w:r>
    </w:p>
    <w:p>
      <w:pPr>
        <w:pStyle w:val="Normal"/>
        <w:rPr>
          <w:b/>
          <w:bCs/>
        </w:rPr>
      </w:pPr>
      <w:r>
        <w:rPr>
          <w:b/>
          <w:bCs/>
        </w:rPr>
        <w:t>FROM:</w:t>
        <w:tab/>
      </w:r>
      <w:r>
        <w:rPr/>
        <w:t>Leslie Lawner, Becky Cantrell</w:t>
      </w:r>
    </w:p>
    <w:p>
      <w:pPr>
        <w:pStyle w:val="Normal"/>
        <w:rPr>
          <w:b/>
          <w:bCs/>
        </w:rPr>
      </w:pPr>
      <w:r>
        <w:rPr>
          <w:b/>
          <w:bCs/>
        </w:rPr>
      </w:r>
    </w:p>
    <w:p>
      <w:pPr>
        <w:pStyle w:val="Normal"/>
        <w:rPr>
          <w:b/>
          <w:bCs/>
        </w:rPr>
      </w:pPr>
      <w:r>
        <w:rPr>
          <w:b/>
          <w:bCs/>
        </w:rPr>
        <w:t>SUBJECT:</w:t>
        <w:tab/>
      </w:r>
      <w:r>
        <w:rPr/>
        <w:t>Gas Interruption, Curtailment issues</w:t>
      </w:r>
    </w:p>
    <w:p>
      <w:pPr>
        <w:pStyle w:val="Normal"/>
        <w:rPr>
          <w:b/>
          <w:bCs/>
        </w:rPr>
      </w:pPr>
      <w:r>
        <w:rPr>
          <w:b/>
          <w:bCs/>
        </w:rPr>
      </w:r>
    </w:p>
    <w:p>
      <w:pPr>
        <w:pStyle w:val="Normal"/>
        <w:rPr/>
      </w:pPr>
      <w:r>
        <w:rPr>
          <w:b/>
          <w:bCs/>
        </w:rPr>
        <w:t>DATE:</w:t>
        <w:tab/>
      </w:r>
      <w:r>
        <w:rPr/>
        <w:t>Dec. 12, 2000</w:t>
      </w:r>
    </w:p>
    <w:p>
      <w:pPr>
        <w:pStyle w:val="Normal"/>
        <w:rPr/>
      </w:pPr>
      <w:r>
        <w:rPr/>
      </w:r>
    </w:p>
    <w:p>
      <w:pPr>
        <w:pStyle w:val="Normal"/>
        <w:rPr/>
      </w:pPr>
      <w:r>
        <w:rPr/>
        <w:t>Attorney Work Product, Privileged Information</w:t>
      </w:r>
    </w:p>
    <w:p>
      <w:pPr>
        <w:pStyle w:val="Normal"/>
        <w:rPr>
          <w:b/>
          <w:bCs/>
        </w:rPr>
      </w:pPr>
      <w:r>
        <w:rPr>
          <w:b/>
          <w:bCs/>
        </w:rPr>
      </w:r>
    </w:p>
    <w:p>
      <w:pPr>
        <w:pStyle w:val="BodyText"/>
        <w:rPr/>
      </w:pPr>
      <w:r>
        <w:rPr/>
        <w:t>Per your request, here is the list of major interstate pipelines and LDCs serving the New York, Chicago and California markets.  There is also a brief explanation of interstate pipeline tariff rules on gas delivery, diversion, imbalances and penalties and a similar discussion of those issues on the LDC side.  We have incorporated a memo from Mike Smith of Legal on EES contract exposure and a brief analysis of the ENA contract exposure from Jeff Hodge.  Finally, we have attached matrices/descriptions of relevant pipeline and LDC tariff provisions.  Becky Cantrell and Melinda Pharms summarized the pipeline tariffs.  Mike Day’s office summarized the California LDCs tariffs and I summarized the NY and Chicago LDC tariffs.</w:t>
      </w:r>
    </w:p>
    <w:p>
      <w:pPr>
        <w:pStyle w:val="Normal"/>
        <w:rPr>
          <w:b/>
          <w:bCs/>
        </w:rPr>
      </w:pPr>
      <w:r>
        <w:rPr>
          <w:b/>
          <w:bCs/>
        </w:rPr>
      </w:r>
    </w:p>
    <w:p>
      <w:pPr>
        <w:pStyle w:val="Normal"/>
        <w:rPr>
          <w:b/>
          <w:bCs/>
          <w:u w:val="single"/>
        </w:rPr>
      </w:pPr>
      <w:r>
        <w:rPr>
          <w:b/>
          <w:bCs/>
        </w:rPr>
        <w:t xml:space="preserve">1.  </w:t>
      </w:r>
      <w:r>
        <w:rPr>
          <w:u w:val="single"/>
        </w:rPr>
        <w:t xml:space="preserve">Markets </w:t>
      </w:r>
    </w:p>
    <w:p>
      <w:pPr>
        <w:pStyle w:val="Normal"/>
        <w:rPr>
          <w:b/>
          <w:bCs/>
          <w:u w:val="single"/>
        </w:rPr>
      </w:pPr>
      <w:r>
        <w:rPr>
          <w:b/>
          <w:bCs/>
          <w:u w:val="single"/>
        </w:rPr>
      </w:r>
    </w:p>
    <w:p>
      <w:pPr>
        <w:pStyle w:val="Normal"/>
        <w:rPr>
          <w:b/>
          <w:bCs/>
        </w:rPr>
      </w:pPr>
      <w:r>
        <w:rPr>
          <w:b/>
          <w:bCs/>
        </w:rPr>
        <w:t>New York City Market:</w:t>
      </w:r>
    </w:p>
    <w:p>
      <w:pPr>
        <w:pStyle w:val="Normal"/>
        <w:rPr>
          <w:b/>
          <w:bCs/>
        </w:rPr>
      </w:pPr>
      <w:r>
        <w:rPr>
          <w:b/>
          <w:bCs/>
        </w:rPr>
      </w:r>
    </w:p>
    <w:p>
      <w:pPr>
        <w:pStyle w:val="Normal"/>
        <w:rPr/>
      </w:pPr>
      <w:r>
        <w:rPr/>
        <w:t>LDC’s:   Con Ed, Keyspan (was Brooklyn Union), LILCO, PSE&amp;G (NJ),</w:t>
      </w:r>
    </w:p>
    <w:p>
      <w:pPr>
        <w:pStyle w:val="Normal"/>
        <w:rPr/>
      </w:pPr>
      <w:r>
        <w:rPr/>
        <w:t>Pipelines:  TETCO, Tennessee, Transco, Iroquois</w:t>
      </w:r>
    </w:p>
    <w:p>
      <w:pPr>
        <w:pStyle w:val="Normal"/>
        <w:rPr/>
      </w:pPr>
      <w:r>
        <w:rPr/>
      </w:r>
    </w:p>
    <w:p>
      <w:pPr>
        <w:pStyle w:val="Normal"/>
        <w:rPr/>
      </w:pPr>
      <w:r>
        <w:rPr/>
      </w:r>
    </w:p>
    <w:p>
      <w:pPr>
        <w:pStyle w:val="Normal"/>
        <w:rPr>
          <w:b/>
          <w:bCs/>
        </w:rPr>
      </w:pPr>
      <w:r>
        <w:rPr>
          <w:b/>
          <w:bCs/>
        </w:rPr>
        <w:t>Chicago:</w:t>
      </w:r>
    </w:p>
    <w:p>
      <w:pPr>
        <w:pStyle w:val="Normal"/>
        <w:rPr>
          <w:b/>
          <w:bCs/>
        </w:rPr>
      </w:pPr>
      <w:r>
        <w:rPr>
          <w:b/>
          <w:bCs/>
        </w:rPr>
      </w:r>
    </w:p>
    <w:p>
      <w:pPr>
        <w:pStyle w:val="Normal"/>
        <w:rPr/>
      </w:pPr>
      <w:r>
        <w:rPr/>
        <w:t xml:space="preserve">LDCs:  Peoples Gas Light &amp; Coke, North Shore, NICOR, NIPSCO (Northern Indiana Public Service Company) </w:t>
      </w:r>
    </w:p>
    <w:p>
      <w:pPr>
        <w:pStyle w:val="Normal"/>
        <w:rPr/>
      </w:pPr>
      <w:r>
        <w:rPr/>
      </w:r>
    </w:p>
    <w:p>
      <w:pPr>
        <w:pStyle w:val="Normal"/>
        <w:rPr/>
      </w:pPr>
      <w:r>
        <w:rPr/>
        <w:t>Pipelines:  NGPL, ANR, Northern Border, Midwestern, Alliance, Northern Natural, Trunkline</w:t>
      </w:r>
    </w:p>
    <w:p>
      <w:pPr>
        <w:pStyle w:val="Normal"/>
        <w:rPr/>
      </w:pPr>
      <w:r>
        <w:rPr/>
      </w:r>
    </w:p>
    <w:p>
      <w:pPr>
        <w:pStyle w:val="Normal"/>
        <w:rPr/>
      </w:pPr>
      <w:r>
        <w:rPr/>
      </w:r>
    </w:p>
    <w:p>
      <w:pPr>
        <w:pStyle w:val="Normal"/>
        <w:rPr/>
      </w:pPr>
      <w:r>
        <w:rPr>
          <w:b/>
          <w:bCs/>
        </w:rPr>
        <w:t>California</w:t>
      </w:r>
      <w:r>
        <w:rPr/>
        <w:t>:</w:t>
      </w:r>
    </w:p>
    <w:p>
      <w:pPr>
        <w:pStyle w:val="Normal"/>
        <w:rPr/>
      </w:pPr>
      <w:r>
        <w:rPr/>
      </w:r>
    </w:p>
    <w:p>
      <w:pPr>
        <w:pStyle w:val="Normal"/>
        <w:rPr/>
      </w:pPr>
      <w:r>
        <w:rPr/>
        <w:t xml:space="preserve">LDCs:  SoCal, PG&amp;E, San Diego Gas and Electric, </w:t>
      </w:r>
    </w:p>
    <w:p>
      <w:pPr>
        <w:pStyle w:val="Normal"/>
        <w:rPr/>
      </w:pPr>
      <w:r>
        <w:rPr/>
      </w:r>
    </w:p>
    <w:p>
      <w:pPr>
        <w:pStyle w:val="Normal"/>
        <w:rPr/>
      </w:pPr>
      <w:r>
        <w:rPr/>
        <w:t xml:space="preserve">Pipelines:  Transwestern, El Paso, Kern River, PGT, Mojave </w:t>
      </w:r>
    </w:p>
    <w:p>
      <w:pPr>
        <w:pStyle w:val="Normal"/>
        <w:rPr/>
      </w:pPr>
      <w:r>
        <w:rPr/>
      </w:r>
    </w:p>
    <w:p>
      <w:pPr>
        <w:pStyle w:val="Normal"/>
        <w:numPr>
          <w:ilvl w:val="0"/>
          <w:numId w:val="6"/>
        </w:numPr>
        <w:tabs>
          <w:tab w:val="clear" w:pos="720"/>
          <w:tab w:val="left" w:pos="0" w:leader="none"/>
        </w:tabs>
        <w:ind w:hanging="0" w:start="0" w:end="0"/>
        <w:rPr>
          <w:u w:val="single"/>
        </w:rPr>
      </w:pPr>
      <w:r>
        <w:rPr>
          <w:u w:val="single"/>
        </w:rPr>
        <w:t>Rules on interstate pipelines that would allow curtailment, diversion or confiscation or otherwise prevent delivery of Enron’s gas</w:t>
      </w:r>
    </w:p>
    <w:p>
      <w:pPr>
        <w:pStyle w:val="Normal"/>
        <w:rPr>
          <w:u w:val="single"/>
        </w:rPr>
      </w:pPr>
      <w:r>
        <w:rPr>
          <w:u w:val="single"/>
        </w:rPr>
      </w:r>
    </w:p>
    <w:p>
      <w:pPr>
        <w:pStyle w:val="BodyText"/>
        <w:rPr/>
      </w:pPr>
      <w:r>
        <w:rPr/>
        <w:t>You have asked whether there are rules applicable to the interstate pipelines that would allow curtailment, diversion or confiscation of gas.  As the interstate pipelines have exited the merchant function, all of the gas that moves through their systems is shipper gas, and in general, the gas is flowing either under a firm or interruptible contract.  Capacity release transactions have added differing degrees of firmness to certain arrangements, and these are negotiated between the releasing shipper and the acquiring shipper.  As there is no longer any system supply, there are no curtailment on the interstate pipelines anymore.  Interruptions and allocations are a matter of contract rather than priority of use, but emergency situations can override contractual rights.</w:t>
      </w:r>
    </w:p>
    <w:p>
      <w:pPr>
        <w:pStyle w:val="BodyText"/>
        <w:rPr/>
      </w:pPr>
      <w:r>
        <w:rPr/>
      </w:r>
    </w:p>
    <w:p>
      <w:pPr>
        <w:pStyle w:val="BodyText"/>
        <w:rPr/>
      </w:pPr>
      <w:r>
        <w:rPr/>
        <w:t xml:space="preserve">As to diversion or confiscation, this implies a party is taking gas that doesn’t belong to it.  If a shipper or other party takes another party’s gas, this action will be treated by the pipeline as an imbalance, a scheduling variance, or an unauthorized overrun.  Different rules and consequences can apply in each case.  If that party took more gas than it had scheduled (i.e. nominated and had confirmed), it would be a scheduling variance.  If it took more (or less) gas that the pipeline received at the receipt point(s) on the transportation agreement, it would be an imbalance either on that shipper’s contract or on an operational balancing agreement.  If the quantity taken at the delivery point also exceeds the shipper’s contract quantity and the pipeline has not previously approved the excess, it will be an unauthorized overrun.  The pipeline can impose daily or monthly scheduling penalties and unauthorized overrun penalties.  These may be cumulative, or the tariff may provide that the shipper pays the highest penalty applicable to an action.  </w:t>
      </w:r>
    </w:p>
    <w:p>
      <w:pPr>
        <w:pStyle w:val="BodyText"/>
        <w:rPr/>
      </w:pPr>
      <w:r>
        <w:rPr/>
      </w:r>
    </w:p>
    <w:p>
      <w:pPr>
        <w:pStyle w:val="BodyText"/>
        <w:rPr/>
      </w:pPr>
      <w:r>
        <w:rPr/>
        <w:t xml:space="preserve">Imbalances are generally handled on a monthly basis, although some pipelines have daily balancing requirements.  Imbalances are resolved generally through a cash-out mechanism whereby the shipper either pays or is paid a market-based rate for the imbalance quantity.  Where the imbalance exceeds a specified tolerance, a tiered penalty is applied to the cash-out price to increase the rate paid or decrease the payment received.  Some pipelines cash out imbalances based on either the highest daily index price during a month (for payment from the shipper) or the lowest (for payment to the shipper).  </w:t>
      </w:r>
    </w:p>
    <w:p>
      <w:pPr>
        <w:pStyle w:val="BodyText"/>
        <w:rPr/>
      </w:pPr>
      <w:r>
        <w:rPr/>
      </w:r>
    </w:p>
    <w:p>
      <w:pPr>
        <w:pStyle w:val="BodyText"/>
        <w:rPr/>
      </w:pPr>
      <w:r>
        <w:rPr/>
        <w:t xml:space="preserve">FERC permits daily penalties to be assessed only where the pipeline has the ability to provide real-time information about gas flows.  The party whose gas was diverted, assuming that can be proven, would have a separate action against the diverter.  FERC has refused to address this issue in pipeline tariffs.   </w:t>
      </w:r>
    </w:p>
    <w:p>
      <w:pPr>
        <w:pStyle w:val="Normal"/>
        <w:jc w:val="both"/>
        <w:rPr/>
      </w:pPr>
      <w:r>
        <w:rPr/>
      </w:r>
    </w:p>
    <w:p>
      <w:pPr>
        <w:pStyle w:val="Normal"/>
        <w:jc w:val="both"/>
        <w:rPr/>
      </w:pPr>
      <w:r>
        <w:rPr/>
        <w:t>When the integrity of its system is or could be in jeopardy, the pipeline may issue an Operational Flow Order (OFO) which puts into place higher penalties and tighter tolerances for the duration of the OFO.   These penalties are generally substantial since they are designed to protect the pipeline in critical times and deter actions which would threaten operations.  Here is a sample of a typical OFO provision from Columbia Gas:</w:t>
      </w:r>
    </w:p>
    <w:p>
      <w:pPr>
        <w:pStyle w:val="Normal"/>
        <w:jc w:val="both"/>
        <w:rPr/>
      </w:pPr>
      <w:r>
        <w:rPr/>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start="916" w:end="0"/>
        <w:rPr>
          <w:rFonts w:ascii="Times New Roman" w:hAnsi="Times New Roman" w:cs="Times New Roman"/>
          <w:color w:val="800000"/>
          <w:sz w:val="20"/>
          <w:szCs w:val="20"/>
        </w:rPr>
      </w:pPr>
      <w:r>
        <w:rPr>
          <w:rFonts w:eastAsia="Times New Roman" w:cs="Times New Roman" w:ascii="Times New Roman" w:hAnsi="Times New Roman"/>
          <w:color w:val="800000"/>
          <w:sz w:val="20"/>
          <w:szCs w:val="20"/>
        </w:rPr>
        <w:t xml:space="preserve">  </w:t>
      </w:r>
      <w:r>
        <w:rPr>
          <w:rFonts w:cs="Times New Roman" w:ascii="Times New Roman" w:hAnsi="Times New Roman"/>
          <w:color w:val="800000"/>
          <w:sz w:val="20"/>
          <w:szCs w:val="20"/>
        </w:rPr>
        <w:t xml:space="preserve">Failure to Comply with OFO.  If Shipper (or Shipper's Gas seller, supplier, </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start="916" w:end="0"/>
        <w:rPr>
          <w:rFonts w:ascii="Times New Roman" w:hAnsi="Times New Roman" w:cs="Times New Roman"/>
          <w:color w:val="800000"/>
          <w:sz w:val="20"/>
          <w:szCs w:val="20"/>
        </w:rPr>
      </w:pPr>
      <w:r>
        <w:rPr>
          <w:rFonts w:eastAsia="Times New Roman" w:cs="Times New Roman" w:ascii="Times New Roman" w:hAnsi="Times New Roman"/>
          <w:color w:val="800000"/>
          <w:sz w:val="20"/>
          <w:szCs w:val="20"/>
        </w:rPr>
        <w:t xml:space="preserve">  </w:t>
      </w:r>
      <w:r>
        <w:rPr>
          <w:rFonts w:cs="Times New Roman" w:ascii="Times New Roman" w:hAnsi="Times New Roman"/>
          <w:color w:val="800000"/>
          <w:sz w:val="20"/>
          <w:szCs w:val="20"/>
        </w:rPr>
        <w:t xml:space="preserve">agent, or the producer and/or operator as the circumstances may require) fails  </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start="916" w:end="0"/>
        <w:rPr>
          <w:rFonts w:ascii="Times New Roman" w:hAnsi="Times New Roman" w:cs="Times New Roman"/>
          <w:color w:val="800000"/>
          <w:sz w:val="20"/>
          <w:szCs w:val="20"/>
        </w:rPr>
      </w:pPr>
      <w:r>
        <w:rPr>
          <w:rFonts w:eastAsia="Times New Roman" w:cs="Times New Roman" w:ascii="Times New Roman" w:hAnsi="Times New Roman"/>
          <w:color w:val="800000"/>
          <w:sz w:val="20"/>
          <w:szCs w:val="20"/>
        </w:rPr>
        <w:t xml:space="preserve">  </w:t>
      </w:r>
      <w:r>
        <w:rPr>
          <w:rFonts w:cs="Times New Roman" w:ascii="Times New Roman" w:hAnsi="Times New Roman"/>
          <w:color w:val="800000"/>
          <w:sz w:val="20"/>
          <w:szCs w:val="20"/>
        </w:rPr>
        <w:t xml:space="preserve">to comply with the terms of an OFO, for any reason other than force majeure on  </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start="916" w:end="0"/>
        <w:rPr>
          <w:rFonts w:ascii="Times New Roman" w:hAnsi="Times New Roman" w:cs="Times New Roman"/>
          <w:color w:val="800000"/>
          <w:sz w:val="20"/>
          <w:szCs w:val="20"/>
        </w:rPr>
      </w:pPr>
      <w:r>
        <w:rPr>
          <w:rFonts w:eastAsia="Times New Roman" w:cs="Times New Roman" w:ascii="Times New Roman" w:hAnsi="Times New Roman"/>
          <w:color w:val="800000"/>
          <w:sz w:val="20"/>
          <w:szCs w:val="20"/>
        </w:rPr>
        <w:t xml:space="preserve">  </w:t>
      </w:r>
      <w:r>
        <w:rPr>
          <w:rFonts w:cs="Times New Roman" w:ascii="Times New Roman" w:hAnsi="Times New Roman"/>
          <w:color w:val="800000"/>
          <w:sz w:val="20"/>
          <w:szCs w:val="20"/>
        </w:rPr>
        <w:t xml:space="preserve">an upstream pipeline, such Shipper shall be: (a)  liable for any damages including,  </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start="916" w:end="0"/>
        <w:rPr>
          <w:rFonts w:ascii="Times New Roman" w:hAnsi="Times New Roman" w:cs="Times New Roman"/>
          <w:color w:val="800000"/>
          <w:sz w:val="20"/>
          <w:szCs w:val="20"/>
        </w:rPr>
      </w:pPr>
      <w:r>
        <w:rPr>
          <w:rFonts w:eastAsia="Times New Roman" w:cs="Times New Roman" w:ascii="Times New Roman" w:hAnsi="Times New Roman"/>
          <w:color w:val="800000"/>
          <w:sz w:val="20"/>
          <w:szCs w:val="20"/>
        </w:rPr>
        <w:t xml:space="preserve">  </w:t>
      </w:r>
      <w:r>
        <w:rPr>
          <w:rFonts w:cs="Times New Roman" w:ascii="Times New Roman" w:hAnsi="Times New Roman"/>
          <w:color w:val="800000"/>
          <w:sz w:val="20"/>
          <w:szCs w:val="20"/>
        </w:rPr>
        <w:t xml:space="preserve">but not limited to direct, consequential, exemplary or punitive damages incurred  </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start="916" w:end="0"/>
        <w:rPr>
          <w:rFonts w:ascii="Times New Roman" w:hAnsi="Times New Roman" w:cs="Times New Roman"/>
          <w:color w:val="800000"/>
          <w:sz w:val="20"/>
          <w:szCs w:val="20"/>
        </w:rPr>
      </w:pPr>
      <w:r>
        <w:rPr>
          <w:rFonts w:eastAsia="Times New Roman" w:cs="Times New Roman" w:ascii="Times New Roman" w:hAnsi="Times New Roman"/>
          <w:color w:val="800000"/>
          <w:sz w:val="20"/>
          <w:szCs w:val="20"/>
        </w:rPr>
        <w:t xml:space="preserve">  </w:t>
      </w:r>
      <w:r>
        <w:rPr>
          <w:rFonts w:cs="Times New Roman" w:ascii="Times New Roman" w:hAnsi="Times New Roman"/>
          <w:color w:val="800000"/>
          <w:sz w:val="20"/>
          <w:szCs w:val="20"/>
        </w:rPr>
        <w:t xml:space="preserve">by Transporter or any other affected party as a result of such failure; and  </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start="916" w:end="0"/>
        <w:rPr>
          <w:rFonts w:ascii="Times New Roman" w:hAnsi="Times New Roman" w:cs="Times New Roman"/>
          <w:color w:val="800000"/>
          <w:sz w:val="20"/>
          <w:szCs w:val="20"/>
        </w:rPr>
      </w:pPr>
      <w:r>
        <w:rPr>
          <w:rFonts w:eastAsia="Times New Roman" w:cs="Times New Roman" w:ascii="Times New Roman" w:hAnsi="Times New Roman"/>
          <w:color w:val="800000"/>
          <w:sz w:val="20"/>
          <w:szCs w:val="20"/>
        </w:rPr>
        <w:t xml:space="preserve">  </w:t>
      </w:r>
      <w:r>
        <w:rPr>
          <w:rFonts w:cs="Times New Roman" w:ascii="Times New Roman" w:hAnsi="Times New Roman"/>
          <w:color w:val="800000"/>
          <w:sz w:val="20"/>
          <w:szCs w:val="20"/>
        </w:rPr>
        <w:t xml:space="preserve">(b) subject to a penalty of twenty-five dollars ($25.00) for each Dekatherm of  </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start="916" w:end="0"/>
        <w:rPr>
          <w:rFonts w:ascii="Times New Roman" w:hAnsi="Times New Roman" w:cs="Times New Roman"/>
          <w:color w:val="800000"/>
          <w:sz w:val="20"/>
          <w:szCs w:val="20"/>
        </w:rPr>
      </w:pPr>
      <w:r>
        <w:rPr>
          <w:rFonts w:eastAsia="Times New Roman" w:cs="Times New Roman" w:ascii="Times New Roman" w:hAnsi="Times New Roman"/>
          <w:color w:val="800000"/>
          <w:sz w:val="20"/>
          <w:szCs w:val="20"/>
        </w:rPr>
        <w:t xml:space="preserve">  </w:t>
      </w:r>
      <w:r>
        <w:rPr>
          <w:rFonts w:cs="Times New Roman" w:ascii="Times New Roman" w:hAnsi="Times New Roman"/>
          <w:color w:val="800000"/>
          <w:sz w:val="20"/>
          <w:szCs w:val="20"/>
        </w:rPr>
        <w:t xml:space="preserve">Gas associated with the quantity of Gas that does not comply with such OFO.  </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start="916" w:end="0"/>
        <w:rPr>
          <w:rFonts w:ascii="Times New Roman" w:hAnsi="Times New Roman" w:cs="Times New Roman"/>
          <w:color w:val="800000"/>
          <w:sz w:val="20"/>
          <w:szCs w:val="20"/>
        </w:rPr>
      </w:pPr>
      <w:r>
        <w:rPr>
          <w:rFonts w:eastAsia="Times New Roman" w:cs="Times New Roman" w:ascii="Times New Roman" w:hAnsi="Times New Roman"/>
          <w:color w:val="800000"/>
          <w:sz w:val="20"/>
          <w:szCs w:val="20"/>
        </w:rPr>
        <w:t xml:space="preserve">  </w:t>
      </w:r>
      <w:r>
        <w:rPr>
          <w:rFonts w:cs="Times New Roman" w:ascii="Times New Roman" w:hAnsi="Times New Roman"/>
          <w:color w:val="800000"/>
          <w:sz w:val="20"/>
          <w:szCs w:val="20"/>
        </w:rPr>
        <w:t xml:space="preserve">Notwithstanding anything to the contrary in this Section 8.9, if Shipper is  </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start="916" w:end="0"/>
        <w:rPr>
          <w:rFonts w:ascii="Times New Roman" w:hAnsi="Times New Roman" w:cs="Times New Roman"/>
          <w:color w:val="800000"/>
          <w:sz w:val="20"/>
          <w:szCs w:val="20"/>
        </w:rPr>
      </w:pPr>
      <w:r>
        <w:rPr>
          <w:rFonts w:eastAsia="Times New Roman" w:cs="Times New Roman" w:ascii="Times New Roman" w:hAnsi="Times New Roman"/>
          <w:color w:val="800000"/>
          <w:sz w:val="20"/>
          <w:szCs w:val="20"/>
        </w:rPr>
        <w:t xml:space="preserve">  </w:t>
      </w:r>
      <w:r>
        <w:rPr>
          <w:rFonts w:cs="Times New Roman" w:ascii="Times New Roman" w:hAnsi="Times New Roman"/>
          <w:color w:val="800000"/>
          <w:sz w:val="20"/>
          <w:szCs w:val="20"/>
        </w:rPr>
        <w:t xml:space="preserve">required to make a nomination pursuant to an OFO, unless critical circumstances  </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start="916" w:end="0"/>
        <w:rPr/>
      </w:pPr>
      <w:r>
        <w:rPr>
          <w:rFonts w:eastAsia="Times New Roman" w:cs="Times New Roman" w:ascii="Times New Roman" w:hAnsi="Times New Roman"/>
          <w:color w:val="800000"/>
          <w:sz w:val="20"/>
          <w:szCs w:val="20"/>
        </w:rPr>
        <w:t xml:space="preserve">  </w:t>
      </w:r>
      <w:r>
        <w:rPr>
          <w:rFonts w:cs="Times New Roman" w:ascii="Times New Roman" w:hAnsi="Times New Roman"/>
          <w:color w:val="800000"/>
          <w:sz w:val="20"/>
          <w:szCs w:val="20"/>
        </w:rPr>
        <w:t>dictate otherwise, no damages and/or penalties will be assessed unless Shipper</w:t>
      </w:r>
      <w:r>
        <w:rPr>
          <w:rFonts w:cs="Times New Roman" w:ascii="Times New Roman" w:hAnsi="Times New Roman"/>
          <w:color w:val="800000"/>
          <w:szCs w:val="20"/>
        </w:rPr>
        <w:t xml:space="preserve">  </w:t>
      </w:r>
    </w:p>
    <w:p>
      <w:pPr>
        <w:pStyle w:val="Normal"/>
        <w:ind w:start="916" w:end="0"/>
        <w:rPr/>
      </w:pPr>
      <w:r>
        <w:rPr>
          <w:sz w:val="20"/>
          <w:szCs w:val="20"/>
        </w:rPr>
        <w:t xml:space="preserve">  </w:t>
      </w:r>
      <w:r>
        <w:rPr>
          <w:sz w:val="20"/>
          <w:szCs w:val="20"/>
        </w:rPr>
        <w:t xml:space="preserve">is given the opportunity to correct the circumstances giving rise to the OFO. </w:t>
      </w:r>
      <w:r>
        <w:rPr/>
        <w:t xml:space="preserve"> </w:t>
      </w:r>
    </w:p>
    <w:p>
      <w:pPr>
        <w:pStyle w:val="Normal"/>
        <w:jc w:val="both"/>
        <w:rPr/>
      </w:pPr>
      <w:r>
        <w:rPr/>
      </w:r>
    </w:p>
    <w:p>
      <w:pPr>
        <w:pStyle w:val="Normal"/>
        <w:jc w:val="both"/>
        <w:rPr/>
      </w:pPr>
      <w:r>
        <w:rPr/>
        <w:t>Pipelines may also allocate supplies at receipt or delivery points, if actual receipts or takes vary from those scheduled.  In many cases, primarily major receipt points such as pipeline interconnections or gathering system-pipeline interconnections, allocations are done pursuant to Operational Balancing Agreements between the pipeline and point operator.</w:t>
      </w:r>
    </w:p>
    <w:p>
      <w:pPr>
        <w:pStyle w:val="Normal"/>
        <w:jc w:val="both"/>
        <w:rPr/>
      </w:pPr>
      <w:r>
        <w:rPr/>
      </w:r>
    </w:p>
    <w:p>
      <w:pPr>
        <w:pStyle w:val="Normal"/>
        <w:rPr/>
      </w:pPr>
      <w:r>
        <w:rPr/>
        <w:t xml:space="preserve"> </w:t>
      </w:r>
    </w:p>
    <w:p>
      <w:pPr>
        <w:pStyle w:val="Normal"/>
        <w:numPr>
          <w:ilvl w:val="0"/>
          <w:numId w:val="6"/>
        </w:numPr>
        <w:tabs>
          <w:tab w:val="clear" w:pos="720"/>
          <w:tab w:val="left" w:pos="360" w:leader="none"/>
        </w:tabs>
        <w:ind w:hanging="0" w:start="0" w:end="0"/>
        <w:rPr/>
      </w:pPr>
      <w:r>
        <w:rPr>
          <w:u w:val="single"/>
        </w:rPr>
        <w:t>LDC interruptions of gas supplies before they are delivered to end user</w:t>
      </w:r>
      <w:r>
        <w:rPr/>
        <w:t>.</w:t>
      </w:r>
    </w:p>
    <w:p>
      <w:pPr>
        <w:pStyle w:val="Normal"/>
        <w:rPr/>
      </w:pPr>
      <w:r>
        <w:rPr/>
      </w:r>
    </w:p>
    <w:p>
      <w:pPr>
        <w:pStyle w:val="BodyTextIndent"/>
        <w:rPr/>
      </w:pPr>
      <w:r>
        <w:rPr/>
        <w:t>Unlike the interstate pipelines, local distribution companies are still acting in a dual capacity:  bundled merchant for the bulk of their load, and transporter for the end users on their system who purchase gas from third parties the market.  The LDCs do generally have penalties and balancing, overrun and scheduling rules, and OFO rules.  It is our understanding, however, that most of our deliveries take place at the citygate, so these “transportation” issues should not impact us.  The LDCs will also have some plan in place to allocate supplies among customers in the case of supply shortfalls.  These plans will generally protect the small customer (residential and small commercial) at the expense of the large users with non-human needs loads.  Thus, our markets may be allocated even when we deliver full volumes to serve them.  Several LDCs have the ability to “confiscate” third party gas to meet their system supply needs, and may only be obligated to pay the owner of the gas the daily spot index price.  Finally, some LDCs also offer emergency, back-up or storage services which can be called upon to fill in supplies under certain conditions where shipper gas may not be delivered.  An analysis of the specific tariff provisions of LDCs in New York, Chicago and California are attached</w:t>
      </w:r>
      <w:r>
        <w:br w:type="page"/>
      </w:r>
    </w:p>
    <w:p>
      <w:pPr>
        <w:pStyle w:val="BodyTextIndent"/>
        <w:rPr/>
      </w:pPr>
      <w:r>
        <w:rPr/>
        <w:t xml:space="preserve">MEMO from Mike Smith, EES Legal </w:t>
      </w:r>
    </w:p>
    <w:p>
      <w:pPr>
        <w:pStyle w:val="BodyTextIndent"/>
        <w:rPr/>
      </w:pPr>
      <w:r>
        <w:rPr/>
      </w:r>
    </w:p>
    <w:p>
      <w:pPr>
        <w:pStyle w:val="BodyText"/>
        <w:jc w:val="center"/>
        <w:rPr/>
      </w:pPr>
      <w:r>
        <w:rPr/>
        <w:t>ATTORNEY CLIENT PRIVILEGED COMMUNICATION</w:t>
      </w:r>
    </w:p>
    <w:p>
      <w:pPr>
        <w:pStyle w:val="Heading1"/>
        <w:keepNext w:val="false"/>
        <w:widowControl w:val="false"/>
        <w:ind w:hanging="0" w:start="0"/>
        <w:jc w:val="center"/>
        <w:rPr/>
      </w:pPr>
      <w:r>
        <w:rPr/>
        <w:t>ATTORNEY WORK PRODUCT</w:t>
      </w:r>
    </w:p>
    <w:p>
      <w:pPr>
        <w:pStyle w:val="Heading1"/>
        <w:keepNext w:val="false"/>
        <w:widowControl w:val="false"/>
        <w:ind w:hanging="0" w:start="0"/>
        <w:jc w:val="center"/>
        <w:rPr/>
      </w:pPr>
      <w:r>
        <w:rPr/>
      </w:r>
    </w:p>
    <w:p>
      <w:pPr>
        <w:pStyle w:val="Heading1"/>
        <w:keepNext w:val="false"/>
        <w:widowControl w:val="false"/>
        <w:ind w:hanging="0" w:start="0"/>
        <w:jc w:val="center"/>
        <w:rPr>
          <w:b w:val="false"/>
        </w:rPr>
      </w:pPr>
      <w:r>
        <w:rPr/>
        <w:t>NATURAL GAS/POWER PRICES:  EES RETAIL RISKS</w:t>
      </w:r>
    </w:p>
    <w:p>
      <w:pPr>
        <w:pStyle w:val="Normal"/>
        <w:widowControl w:val="false"/>
        <w:rPr>
          <w:b/>
        </w:rPr>
      </w:pPr>
      <w:r>
        <w:rPr>
          <w:b/>
        </w:rPr>
      </w:r>
    </w:p>
    <w:p>
      <w:pPr>
        <w:pStyle w:val="Normal"/>
        <w:widowControl w:val="false"/>
        <w:rPr/>
      </w:pPr>
      <w:r>
        <w:rPr>
          <w:bCs/>
          <w:u w:val="single"/>
        </w:rPr>
        <w:t>BASIC FACTS</w:t>
      </w:r>
      <w:r>
        <w:rPr>
          <w:bCs/>
        </w:rPr>
        <w:t>:</w:t>
      </w:r>
    </w:p>
    <w:p>
      <w:pPr>
        <w:pStyle w:val="Normal"/>
        <w:widowControl w:val="false"/>
        <w:numPr>
          <w:ilvl w:val="0"/>
          <w:numId w:val="20"/>
        </w:numPr>
        <w:jc w:val="both"/>
        <w:rPr>
          <w:b/>
        </w:rPr>
      </w:pPr>
      <w:r>
        <w:rPr/>
        <w:t>Rising gas and power prices in CA and other wholesale markets may result in supply curtailments, including by EES’ suppliers</w:t>
      </w:r>
    </w:p>
    <w:p>
      <w:pPr>
        <w:pStyle w:val="Normal"/>
        <w:widowControl w:val="false"/>
        <w:numPr>
          <w:ilvl w:val="0"/>
          <w:numId w:val="13"/>
        </w:numPr>
        <w:rPr/>
      </w:pPr>
      <w:r>
        <w:rPr/>
        <w:t>Retail delivery points at utility interconnect/citygate</w:t>
      </w:r>
    </w:p>
    <w:p>
      <w:pPr>
        <w:pStyle w:val="Normal"/>
        <w:widowControl w:val="false"/>
        <w:numPr>
          <w:ilvl w:val="0"/>
          <w:numId w:val="20"/>
        </w:numPr>
        <w:jc w:val="both"/>
        <w:rPr>
          <w:b/>
        </w:rPr>
      </w:pPr>
      <w:r>
        <w:rPr/>
        <w:t>OFO’s/curtailment orders: retail contracts generally state that customer must comply or customer pays utility penalty rate</w:t>
      </w:r>
    </w:p>
    <w:p>
      <w:pPr>
        <w:pStyle w:val="Normal"/>
        <w:widowControl w:val="false"/>
        <w:numPr>
          <w:ilvl w:val="0"/>
          <w:numId w:val="13"/>
        </w:numPr>
        <w:rPr/>
      </w:pPr>
      <w:r>
        <w:rPr/>
        <w:t>Force majeure:  transporter or utility force majeure can be EES force majeure under retail contracts</w:t>
      </w:r>
    </w:p>
    <w:p>
      <w:pPr>
        <w:pStyle w:val="Normal"/>
        <w:widowControl w:val="false"/>
        <w:numPr>
          <w:ilvl w:val="0"/>
          <w:numId w:val="14"/>
        </w:numPr>
        <w:jc w:val="both"/>
        <w:rPr>
          <w:b/>
        </w:rPr>
      </w:pPr>
      <w:r>
        <w:rPr/>
        <w:t>EES retail customers are generally receiving a fixed price or discount to tariff—insulated from rising wholesale prices</w:t>
      </w:r>
    </w:p>
    <w:p>
      <w:pPr>
        <w:pStyle w:val="Normal"/>
        <w:widowControl w:val="false"/>
        <w:rPr>
          <w:b/>
        </w:rPr>
      </w:pPr>
      <w:r>
        <w:rPr>
          <w:b/>
        </w:rPr>
      </w:r>
    </w:p>
    <w:p>
      <w:pPr>
        <w:pStyle w:val="Normal"/>
        <w:widowControl w:val="false"/>
        <w:rPr/>
      </w:pPr>
      <w:r>
        <w:rPr>
          <w:bCs/>
          <w:u w:val="single"/>
        </w:rPr>
        <w:t>PRIMARY ISSUES</w:t>
      </w:r>
      <w:r>
        <w:rPr>
          <w:bCs/>
        </w:rPr>
        <w:t>:</w:t>
      </w:r>
    </w:p>
    <w:p>
      <w:pPr>
        <w:pStyle w:val="Normal"/>
        <w:widowControl w:val="false"/>
        <w:numPr>
          <w:ilvl w:val="0"/>
          <w:numId w:val="2"/>
        </w:numPr>
        <w:jc w:val="both"/>
        <w:rPr/>
      </w:pPr>
      <w:r>
        <w:rPr>
          <w:u w:val="single"/>
        </w:rPr>
        <w:t>Purchase Side</w:t>
      </w:r>
      <w:r>
        <w:rPr/>
        <w:t>:  Events under which a supplier can claim force majeure or otherwise curtail EES (esp. system constraint), and effect on EES’ obligations under retail contracts</w:t>
      </w:r>
    </w:p>
    <w:p>
      <w:pPr>
        <w:pStyle w:val="Normal"/>
        <w:widowControl w:val="false"/>
        <w:numPr>
          <w:ilvl w:val="0"/>
          <w:numId w:val="7"/>
        </w:numPr>
        <w:jc w:val="both"/>
        <w:rPr/>
      </w:pPr>
      <w:r>
        <w:rPr>
          <w:u w:val="single"/>
        </w:rPr>
        <w:t>Retail Sale Side</w:t>
      </w:r>
      <w:r>
        <w:rPr/>
        <w:t>:  Effect of utility OFO/curtailment order on EES’ obligations under customer contracts, including related utility rights</w:t>
      </w:r>
    </w:p>
    <w:p>
      <w:pPr>
        <w:pStyle w:val="Normal"/>
        <w:widowControl w:val="false"/>
        <w:numPr>
          <w:ilvl w:val="0"/>
          <w:numId w:val="22"/>
        </w:numPr>
        <w:jc w:val="both"/>
        <w:rPr/>
      </w:pPr>
      <w:r>
        <w:rPr>
          <w:u w:val="single"/>
        </w:rPr>
        <w:t>General</w:t>
      </w:r>
      <w:r>
        <w:rPr/>
        <w:t>: is breach cheaper than performance?</w:t>
      </w:r>
    </w:p>
    <w:p>
      <w:pPr>
        <w:pStyle w:val="Normal"/>
        <w:widowControl w:val="false"/>
        <w:rPr>
          <w:b/>
        </w:rPr>
      </w:pPr>
      <w:r>
        <w:rPr>
          <w:b/>
        </w:rPr>
      </w:r>
    </w:p>
    <w:p>
      <w:pPr>
        <w:pStyle w:val="Heading3"/>
        <w:ind w:hanging="0" w:start="0"/>
        <w:rPr/>
      </w:pPr>
      <w:r>
        <w:rPr>
          <w:b w:val="false"/>
          <w:bCs/>
        </w:rPr>
        <w:t>DETAIL</w:t>
      </w:r>
      <w:r>
        <w:rPr>
          <w:b w:val="false"/>
          <w:bCs/>
          <w:u w:val="none"/>
        </w:rPr>
        <w:t>: (ISSUE LEAD)</w:t>
      </w:r>
    </w:p>
    <w:p>
      <w:pPr>
        <w:pStyle w:val="Normal"/>
        <w:widowControl w:val="false"/>
        <w:rPr>
          <w:b/>
          <w:bCs/>
          <w:u w:val="single"/>
        </w:rPr>
      </w:pPr>
      <w:r>
        <w:rPr>
          <w:b/>
          <w:bCs/>
          <w:u w:val="single"/>
        </w:rPr>
      </w:r>
    </w:p>
    <w:p>
      <w:pPr>
        <w:pStyle w:val="Normal"/>
        <w:widowControl w:val="false"/>
        <w:rPr/>
      </w:pPr>
      <w:r>
        <w:rPr>
          <w:bCs/>
          <w:u w:val="single"/>
        </w:rPr>
        <w:t>Purchase Contracts—Force Majeure and Curtailment Rights of Sellers to EES Under the Following</w:t>
      </w:r>
      <w:r>
        <w:rPr>
          <w:bCs/>
        </w:rPr>
        <w:t>:  (EES LEGAL)</w:t>
      </w:r>
    </w:p>
    <w:p>
      <w:pPr>
        <w:pStyle w:val="Normal"/>
        <w:widowControl w:val="false"/>
        <w:numPr>
          <w:ilvl w:val="0"/>
          <w:numId w:val="19"/>
        </w:numPr>
        <w:rPr/>
      </w:pPr>
      <w:r>
        <w:rPr/>
        <w:t>ENA—Master Buy/Sell; what % of purchases are from ENA/EPMI?  Is delivery generally at utility, or elsewhere?</w:t>
      </w:r>
    </w:p>
    <w:p>
      <w:pPr>
        <w:pStyle w:val="Normal"/>
        <w:widowControl w:val="false"/>
        <w:numPr>
          <w:ilvl w:val="0"/>
          <w:numId w:val="19"/>
        </w:numPr>
        <w:rPr/>
      </w:pPr>
      <w:r>
        <w:rPr/>
        <w:t>Other non-utility third parties (e.g. Duke natural gas master).  Delivery points?</w:t>
      </w:r>
    </w:p>
    <w:p>
      <w:pPr>
        <w:pStyle w:val="Normal"/>
        <w:widowControl w:val="false"/>
        <w:numPr>
          <w:ilvl w:val="0"/>
          <w:numId w:val="19"/>
        </w:numPr>
        <w:rPr/>
      </w:pPr>
      <w:r>
        <w:rPr/>
        <w:t>Utilities—citygate gas purchases</w:t>
      </w:r>
    </w:p>
    <w:p>
      <w:pPr>
        <w:pStyle w:val="Normal"/>
        <w:widowControl w:val="false"/>
        <w:numPr>
          <w:ilvl w:val="0"/>
          <w:numId w:val="19"/>
        </w:numPr>
        <w:rPr/>
      </w:pPr>
      <w:r>
        <w:rPr/>
        <w:t>Appalachian wellhead purchases</w:t>
      </w:r>
    </w:p>
    <w:p>
      <w:pPr>
        <w:pStyle w:val="Normal"/>
        <w:widowControl w:val="false"/>
        <w:numPr>
          <w:ilvl w:val="0"/>
          <w:numId w:val="19"/>
        </w:numPr>
        <w:rPr/>
      </w:pPr>
      <w:r>
        <w:rPr/>
        <w:t>Are there interruptible/reacallable purchase transactions that create exposure (e.g. “price majeure” agreements)?</w:t>
      </w:r>
    </w:p>
    <w:p>
      <w:pPr>
        <w:pStyle w:val="Normal"/>
        <w:widowControl w:val="false"/>
        <w:rPr>
          <w:b/>
          <w:u w:val="single"/>
        </w:rPr>
      </w:pPr>
      <w:r>
        <w:rPr>
          <w:b/>
          <w:u w:val="single"/>
        </w:rPr>
      </w:r>
    </w:p>
    <w:p>
      <w:pPr>
        <w:pStyle w:val="Normal"/>
        <w:widowControl w:val="false"/>
        <w:rPr/>
      </w:pPr>
      <w:r>
        <w:rPr>
          <w:bCs/>
          <w:u w:val="single"/>
        </w:rPr>
        <w:t>Retail Sales Contracts—EES’ Force Majeure and Curtailment Rights</w:t>
      </w:r>
      <w:r>
        <w:rPr>
          <w:bCs/>
        </w:rPr>
        <w:t>:  (EES LEGAL)</w:t>
      </w:r>
    </w:p>
    <w:p>
      <w:pPr>
        <w:pStyle w:val="Normal"/>
        <w:widowControl w:val="false"/>
        <w:numPr>
          <w:ilvl w:val="0"/>
          <w:numId w:val="13"/>
        </w:numPr>
        <w:rPr/>
      </w:pPr>
      <w:r>
        <w:rPr/>
        <w:t>Can supplier force majeure be a force majeure under retail contract?</w:t>
      </w:r>
    </w:p>
    <w:p>
      <w:pPr>
        <w:pStyle w:val="Normal"/>
        <w:widowControl w:val="false"/>
        <w:numPr>
          <w:ilvl w:val="0"/>
          <w:numId w:val="13"/>
        </w:numPr>
        <w:rPr/>
      </w:pPr>
      <w:r>
        <w:rPr/>
        <w:t>Can supplier/transporter/utility curtailment (non-force majeure) be a force majeure under retail contract?</w:t>
      </w:r>
    </w:p>
    <w:p>
      <w:pPr>
        <w:pStyle w:val="Normal"/>
        <w:widowControl w:val="false"/>
        <w:numPr>
          <w:ilvl w:val="0"/>
          <w:numId w:val="13"/>
        </w:numPr>
        <w:rPr/>
      </w:pPr>
      <w:r>
        <w:rPr/>
        <w:t>Compliance with notice requirements for OFO/curtailment orders; who will receive?</w:t>
      </w:r>
    </w:p>
    <w:p>
      <w:pPr>
        <w:pStyle w:val="Normal"/>
        <w:widowControl w:val="false"/>
        <w:numPr>
          <w:ilvl w:val="0"/>
          <w:numId w:val="13"/>
        </w:numPr>
        <w:jc w:val="both"/>
        <w:rPr/>
      </w:pPr>
      <w:r>
        <w:rPr/>
        <w:t>Are there deal specific provisions (esp. in Commodity Management Agreements/Outsource Agreements) that create different risks (e.g. more restrictive force majeure provisions; “financially firm” commitments)?</w:t>
      </w:r>
    </w:p>
    <w:p>
      <w:pPr>
        <w:pStyle w:val="Normal"/>
        <w:widowControl w:val="false"/>
        <w:numPr>
          <w:ilvl w:val="0"/>
          <w:numId w:val="13"/>
        </w:numPr>
        <w:rPr/>
      </w:pPr>
      <w:r>
        <w:rPr/>
        <w:t>What is the effect of an OFO/curtailment on customer’s minimum consumption requirements?</w:t>
      </w:r>
    </w:p>
    <w:p>
      <w:pPr>
        <w:pStyle w:val="Normal"/>
        <w:widowControl w:val="false"/>
        <w:numPr>
          <w:ilvl w:val="0"/>
          <w:numId w:val="13"/>
        </w:numPr>
        <w:rPr/>
      </w:pPr>
      <w:r>
        <w:rPr/>
        <w:t>Which EES retail customers are likely to be curtailed per utility curtailment priorities?</w:t>
      </w:r>
    </w:p>
    <w:p>
      <w:pPr>
        <w:pStyle w:val="Normal"/>
        <w:widowControl w:val="false"/>
        <w:rPr/>
      </w:pPr>
      <w:r>
        <w:rPr/>
      </w:r>
    </w:p>
    <w:p>
      <w:pPr>
        <w:pStyle w:val="Heading1"/>
        <w:keepNext w:val="false"/>
        <w:widowControl w:val="false"/>
        <w:ind w:hanging="0" w:start="0"/>
        <w:rPr/>
      </w:pPr>
      <w:r>
        <w:rPr>
          <w:b w:val="false"/>
          <w:bCs w:val="false"/>
          <w:u w:val="single"/>
        </w:rPr>
        <w:t>Utility Rights and Obligations</w:t>
      </w:r>
      <w:r>
        <w:rPr>
          <w:b w:val="false"/>
          <w:bCs w:val="false"/>
        </w:rPr>
        <w:t>:  (REGULATORY)</w:t>
      </w:r>
    </w:p>
    <w:p>
      <w:pPr>
        <w:pStyle w:val="Normal"/>
        <w:widowControl w:val="false"/>
        <w:numPr>
          <w:ilvl w:val="0"/>
          <w:numId w:val="24"/>
        </w:numPr>
        <w:rPr/>
      </w:pPr>
      <w:r>
        <w:rPr/>
        <w:t>Do OFO/curtailment orders excuse EES delivery obligation into utility?</w:t>
      </w:r>
    </w:p>
    <w:p>
      <w:pPr>
        <w:pStyle w:val="Normal"/>
        <w:widowControl w:val="false"/>
        <w:numPr>
          <w:ilvl w:val="0"/>
          <w:numId w:val="24"/>
        </w:numPr>
        <w:rPr/>
      </w:pPr>
      <w:r>
        <w:rPr/>
        <w:t>Are we required to deliver only nominated volumes (and when do we nominate)?</w:t>
      </w:r>
    </w:p>
    <w:p>
      <w:pPr>
        <w:pStyle w:val="Normal"/>
        <w:widowControl w:val="false"/>
        <w:numPr>
          <w:ilvl w:val="0"/>
          <w:numId w:val="24"/>
        </w:numPr>
        <w:rPr/>
      </w:pPr>
      <w:r>
        <w:rPr/>
        <w:t>Are we somehow required to deliver baselined or estimated volumes under utility operational agreement or tariff?</w:t>
      </w:r>
    </w:p>
    <w:p>
      <w:pPr>
        <w:pStyle w:val="Normal"/>
        <w:widowControl w:val="false"/>
        <w:numPr>
          <w:ilvl w:val="0"/>
          <w:numId w:val="24"/>
        </w:numPr>
        <w:rPr/>
      </w:pPr>
      <w:r>
        <w:rPr/>
        <w:t xml:space="preserve">Is there anything else preventing EES from reselling curtailed gas/power into market? </w:t>
      </w:r>
    </w:p>
    <w:p>
      <w:pPr>
        <w:pStyle w:val="Normal"/>
        <w:widowControl w:val="false"/>
        <w:numPr>
          <w:ilvl w:val="0"/>
          <w:numId w:val="24"/>
        </w:numPr>
        <w:rPr/>
      </w:pPr>
      <w:r>
        <w:rPr/>
        <w:t>Can utility confiscate/reallocate gas/power?</w:t>
      </w:r>
    </w:p>
    <w:p>
      <w:pPr>
        <w:pStyle w:val="Normal"/>
        <w:widowControl w:val="false"/>
        <w:numPr>
          <w:ilvl w:val="0"/>
          <w:numId w:val="24"/>
        </w:numPr>
        <w:rPr/>
      </w:pPr>
      <w:r>
        <w:rPr/>
        <w:t>In conjunction with or independent of an OFO/curtailment order?</w:t>
      </w:r>
    </w:p>
    <w:p>
      <w:pPr>
        <w:pStyle w:val="Normal"/>
        <w:widowControl w:val="false"/>
        <w:numPr>
          <w:ilvl w:val="0"/>
          <w:numId w:val="24"/>
        </w:numPr>
        <w:rPr/>
      </w:pPr>
      <w:r>
        <w:rPr/>
        <w:t>Under tariff provisions or operational agreement provisions?</w:t>
      </w:r>
    </w:p>
    <w:p>
      <w:pPr>
        <w:pStyle w:val="Normal"/>
        <w:widowControl w:val="false"/>
        <w:numPr>
          <w:ilvl w:val="0"/>
          <w:numId w:val="24"/>
        </w:numPr>
        <w:rPr/>
      </w:pPr>
      <w:r>
        <w:rPr/>
        <w:t>Are the rules different for core and non-core customers?</w:t>
      </w:r>
    </w:p>
    <w:p>
      <w:pPr>
        <w:pStyle w:val="Normal"/>
        <w:widowControl w:val="false"/>
        <w:numPr>
          <w:ilvl w:val="0"/>
          <w:numId w:val="24"/>
        </w:numPr>
        <w:rPr/>
      </w:pPr>
      <w:r>
        <w:rPr/>
        <w:t>Does it matter whether we are pool balancing vs. independent balancing?</w:t>
      </w:r>
    </w:p>
    <w:p>
      <w:pPr>
        <w:pStyle w:val="Normal"/>
        <w:widowControl w:val="false"/>
        <w:rPr/>
      </w:pPr>
      <w:r>
        <w:rPr/>
      </w:r>
    </w:p>
    <w:p>
      <w:pPr>
        <w:pStyle w:val="Normal"/>
        <w:widowControl w:val="false"/>
        <w:rPr/>
      </w:pPr>
      <w:r>
        <w:rPr>
          <w:bCs/>
          <w:u w:val="single"/>
        </w:rPr>
        <w:t>EES PR Issues</w:t>
      </w:r>
      <w:r>
        <w:rPr>
          <w:bCs/>
        </w:rPr>
        <w:t>:</w:t>
        <w:tab/>
        <w:t>(PUBLIC RELATIONS)</w:t>
      </w:r>
    </w:p>
    <w:p>
      <w:pPr>
        <w:pStyle w:val="Normal"/>
        <w:widowControl w:val="false"/>
        <w:numPr>
          <w:ilvl w:val="0"/>
          <w:numId w:val="14"/>
        </w:numPr>
        <w:rPr>
          <w:b/>
        </w:rPr>
      </w:pPr>
      <w:r>
        <w:rPr/>
        <w:t>What are customers being told?</w:t>
      </w:r>
    </w:p>
    <w:p>
      <w:pPr>
        <w:pStyle w:val="Normal"/>
        <w:widowControl w:val="false"/>
        <w:numPr>
          <w:ilvl w:val="0"/>
          <w:numId w:val="14"/>
        </w:numPr>
        <w:rPr>
          <w:b/>
        </w:rPr>
      </w:pPr>
      <w:r>
        <w:rPr/>
        <w:t>What is EES story?</w:t>
      </w:r>
    </w:p>
    <w:p>
      <w:pPr>
        <w:pStyle w:val="Normal"/>
        <w:widowControl w:val="false"/>
        <w:numPr>
          <w:ilvl w:val="0"/>
          <w:numId w:val="14"/>
        </w:numPr>
        <w:rPr>
          <w:b/>
        </w:rPr>
      </w:pPr>
      <w:r>
        <w:rPr/>
        <w:t>What is overall Enron story?</w:t>
      </w:r>
    </w:p>
    <w:p>
      <w:pPr>
        <w:pStyle w:val="Normal"/>
        <w:widowControl w:val="false"/>
        <w:rPr>
          <w:b/>
        </w:rPr>
      </w:pPr>
      <w:r>
        <w:rPr>
          <w:b/>
        </w:rPr>
      </w:r>
    </w:p>
    <w:p>
      <w:pPr>
        <w:pStyle w:val="Normal"/>
        <w:widowControl w:val="false"/>
        <w:rPr/>
      </w:pPr>
      <w:r>
        <w:rPr>
          <w:bCs/>
          <w:u w:val="single"/>
        </w:rPr>
        <w:t>Other Related Issues</w:t>
      </w:r>
      <w:r>
        <w:rPr>
          <w:bCs/>
        </w:rPr>
        <w:t>:  (EES LEGAL)</w:t>
      </w:r>
    </w:p>
    <w:p>
      <w:pPr>
        <w:pStyle w:val="Normal"/>
        <w:widowControl w:val="false"/>
        <w:numPr>
          <w:ilvl w:val="0"/>
          <w:numId w:val="13"/>
        </w:numPr>
        <w:rPr/>
      </w:pPr>
      <w:r>
        <w:rPr/>
        <w:t xml:space="preserve">Utility efforts to obviate frozen tariff—Can we terminate or restructure if successful? </w:t>
      </w:r>
    </w:p>
    <w:p>
      <w:pPr>
        <w:pStyle w:val="Normal"/>
        <w:widowControl w:val="false"/>
        <w:numPr>
          <w:ilvl w:val="0"/>
          <w:numId w:val="13"/>
        </w:numPr>
        <w:rPr/>
      </w:pPr>
      <w:r>
        <w:rPr/>
        <w:t>PG&amp;E negative CTC issue—pending resolution</w:t>
      </w:r>
    </w:p>
    <w:p>
      <w:pPr>
        <w:pStyle w:val="BodyText"/>
        <w:rPr/>
      </w:pPr>
      <w:r>
        <w:rPr/>
      </w:r>
    </w:p>
    <w:p>
      <w:pPr>
        <w:pStyle w:val="BodyText"/>
        <w:rPr/>
      </w:pPr>
      <w:r>
        <w:rPr/>
      </w:r>
    </w:p>
    <w:p>
      <w:pPr>
        <w:pStyle w:val="BodyText"/>
        <w:rPr>
          <w:b/>
          <w:bCs/>
          <w:i/>
          <w:i/>
          <w:iCs/>
          <w:u w:val="single"/>
        </w:rPr>
      </w:pPr>
      <w:r>
        <w:rPr>
          <w:b/>
          <w:bCs/>
          <w:i/>
          <w:iCs/>
          <w:u w:val="single"/>
        </w:rPr>
        <w:t>ENA Legal Analysis (Jeff Hodge):</w:t>
      </w:r>
    </w:p>
    <w:p>
      <w:pPr>
        <w:pStyle w:val="BodyText"/>
        <w:rPr>
          <w:b/>
          <w:bCs/>
          <w:i/>
          <w:i/>
          <w:iCs/>
          <w:u w:val="single"/>
        </w:rPr>
      </w:pPr>
      <w:r>
        <w:rPr>
          <w:b/>
          <w:bCs/>
          <w:i/>
          <w:iCs/>
          <w:u w:val="single"/>
        </w:rPr>
      </w:r>
    </w:p>
    <w:p>
      <w:pPr>
        <w:pStyle w:val="BodyText"/>
        <w:rPr/>
      </w:pPr>
      <w:r>
        <w:rPr/>
        <w:t xml:space="preserve">Under the ENA gas contracts, a diversion of gas as a result of governmental action would likely an event of force majeure excusing the performance of ENA.  As an aside, note that the vast majority of ENA’s gas business involves deliveries to its customers at various citygates.  ENA has very limited exposure to transportation on LDCs. </w:t>
      </w:r>
    </w:p>
    <w:p>
      <w:pPr>
        <w:pStyle w:val="BodyText"/>
        <w:rPr/>
      </w:pPr>
      <w:r>
        <w:rPr/>
      </w:r>
      <w:r>
        <w:br w:type="page"/>
      </w:r>
    </w:p>
    <w:p>
      <w:pPr>
        <w:pStyle w:val="Normal"/>
        <w:widowControl w:val="false"/>
        <w:rPr>
          <w:b/>
          <w:bCs/>
          <w:u w:val="single"/>
        </w:rPr>
      </w:pPr>
      <w:r>
        <w:rPr>
          <w:b/>
          <w:bCs/>
          <w:u w:val="single"/>
        </w:rPr>
        <w:t>LDCs IN NEW YORK MARKETS:</w:t>
      </w:r>
    </w:p>
    <w:p>
      <w:pPr>
        <w:pStyle w:val="BodyTextIndent"/>
        <w:rPr>
          <w:b/>
          <w:bCs/>
          <w:u w:val="single"/>
        </w:rPr>
      </w:pPr>
      <w:r>
        <w:rPr>
          <w:b/>
          <w:bCs/>
          <w:u w:val="single"/>
        </w:rPr>
      </w:r>
    </w:p>
    <w:p>
      <w:pPr>
        <w:pStyle w:val="Heading1"/>
        <w:ind w:hanging="0" w:start="0"/>
        <w:rPr/>
      </w:pPr>
      <w:r>
        <w:rPr/>
        <w:t>CON ED:</w:t>
      </w:r>
    </w:p>
    <w:p>
      <w:pPr>
        <w:pStyle w:val="Normal"/>
        <w:jc w:val="both"/>
        <w:rPr/>
      </w:pPr>
      <w:r>
        <w:rPr/>
      </w:r>
    </w:p>
    <w:p>
      <w:pPr>
        <w:pStyle w:val="Normal"/>
        <w:jc w:val="both"/>
        <w:rPr/>
      </w:pPr>
      <w:r>
        <w:rPr/>
        <w:t>Operational Flow Orders</w:t>
      </w:r>
    </w:p>
    <w:p>
      <w:pPr>
        <w:pStyle w:val="Normal"/>
        <w:jc w:val="both"/>
        <w:rPr/>
      </w:pPr>
      <w:r>
        <w:rPr/>
      </w:r>
    </w:p>
    <w:p>
      <w:pPr>
        <w:pStyle w:val="Normal"/>
        <w:jc w:val="both"/>
        <w:rPr/>
      </w:pPr>
      <w:r>
        <w:rPr/>
        <w:t>Can designate critical period when there is disruption to the physical integrity of the system or a force majeure event.  A critical day is a day when an OFO is in effect.  Unless circumstances do not allow, 24 hours notice will be issued before an OFO is issued.  System alerts may request or direct certain actions be taken.  Marketers may be required to deliver gas to a specific point, to balance daily or deliver a specified quantity of gas, or change daily nominatios for customer groups being served with a flat monthly nomination.  Failure to comply with an OFO will carry a penalty of $4.50 per therm.</w:t>
      </w:r>
    </w:p>
    <w:p>
      <w:pPr>
        <w:pStyle w:val="Normal"/>
        <w:jc w:val="both"/>
        <w:rPr/>
      </w:pPr>
      <w:r>
        <w:rPr/>
      </w:r>
    </w:p>
    <w:p>
      <w:pPr>
        <w:pStyle w:val="Normal"/>
        <w:jc w:val="both"/>
        <w:rPr/>
      </w:pPr>
      <w:r>
        <w:rPr/>
        <w:t>ConEd primary/secondary city gate delivery point allocations:</w:t>
      </w:r>
    </w:p>
    <w:p>
      <w:pPr>
        <w:pStyle w:val="Normal"/>
        <w:jc w:val="both"/>
        <w:rPr/>
      </w:pPr>
      <w:r>
        <w:rPr/>
      </w:r>
    </w:p>
    <w:p>
      <w:pPr>
        <w:pStyle w:val="Normal"/>
        <w:jc w:val="both"/>
        <w:rPr/>
      </w:pPr>
      <w:r>
        <w:rPr/>
        <w:tab/>
        <w:t>Marketers with firm, nonrecallable primary delivery point capacity with firm Peak Month Daily Delivery Quantity above 1000 dth/day must follow this delivery point allocation:</w:t>
      </w:r>
    </w:p>
    <w:p>
      <w:pPr>
        <w:pStyle w:val="Normal"/>
        <w:jc w:val="both"/>
        <w:rPr/>
      </w:pPr>
      <w:r>
        <w:rPr/>
      </w:r>
    </w:p>
    <w:p>
      <w:pPr>
        <w:pStyle w:val="Normal"/>
        <w:numPr>
          <w:ilvl w:val="0"/>
          <w:numId w:val="17"/>
        </w:numPr>
        <w:jc w:val="both"/>
        <w:rPr/>
      </w:pPr>
      <w:r>
        <w:rPr/>
        <w:t>Marketers with firm peak month daily delivery quantity of less than 1000 dth/day have no Daily Delivery Point Allocation requirements;</w:t>
      </w:r>
    </w:p>
    <w:p>
      <w:pPr>
        <w:pStyle w:val="Normal"/>
        <w:numPr>
          <w:ilvl w:val="0"/>
          <w:numId w:val="17"/>
        </w:numPr>
        <w:jc w:val="both"/>
        <w:rPr/>
      </w:pPr>
      <w:r>
        <w:rPr/>
        <w:t>Marketers with Firm Peak Monthly Daily Delivery Quantity greater than 1000 dth/day but less than 5000, shall have this allocation applied:</w:t>
      </w:r>
    </w:p>
    <w:p>
      <w:pPr>
        <w:pStyle w:val="Normal"/>
        <w:jc w:val="both"/>
        <w:rPr/>
      </w:pPr>
      <w:r>
        <w:rPr/>
      </w:r>
    </w:p>
    <w:p>
      <w:pPr>
        <w:pStyle w:val="Normal"/>
        <w:ind w:start="720" w:end="0"/>
        <w:jc w:val="both"/>
        <w:rPr/>
      </w:pPr>
      <w:r>
        <w:rPr/>
        <w:t xml:space="preserve">Transco </w:t>
        <w:tab/>
        <w:t>60%</w:t>
      </w:r>
    </w:p>
    <w:p>
      <w:pPr>
        <w:pStyle w:val="Normal"/>
        <w:ind w:start="720" w:end="0"/>
        <w:jc w:val="both"/>
        <w:rPr/>
      </w:pPr>
      <w:r>
        <w:rPr/>
        <w:t xml:space="preserve">TETCO    </w:t>
        <w:tab/>
        <w:t>25%</w:t>
      </w:r>
    </w:p>
    <w:p>
      <w:pPr>
        <w:pStyle w:val="Normal"/>
        <w:ind w:start="720" w:end="0"/>
        <w:jc w:val="both"/>
        <w:rPr/>
      </w:pPr>
      <w:r>
        <w:rPr/>
        <w:t xml:space="preserve">Tennessee </w:t>
        <w:tab/>
        <w:t>15%</w:t>
        <w:tab/>
      </w:r>
    </w:p>
    <w:p>
      <w:pPr>
        <w:pStyle w:val="Normal"/>
        <w:ind w:start="720" w:end="0"/>
        <w:jc w:val="both"/>
        <w:rPr/>
      </w:pPr>
      <w:r>
        <w:rPr/>
      </w:r>
    </w:p>
    <w:p>
      <w:pPr>
        <w:pStyle w:val="Normal"/>
        <w:numPr>
          <w:ilvl w:val="0"/>
          <w:numId w:val="17"/>
        </w:numPr>
        <w:jc w:val="both"/>
        <w:rPr/>
      </w:pPr>
      <w:r>
        <w:rPr/>
        <w:t>Marketers with Firm Peak Month Daily Delivery Quantity over 5000 dth/d have this allocation:</w:t>
      </w:r>
    </w:p>
    <w:p>
      <w:pPr>
        <w:pStyle w:val="Normal"/>
        <w:jc w:val="both"/>
        <w:rPr/>
      </w:pPr>
      <w:r>
        <w:rPr/>
      </w:r>
    </w:p>
    <w:p>
      <w:pPr>
        <w:pStyle w:val="Normal"/>
        <w:ind w:start="720" w:end="0"/>
        <w:jc w:val="both"/>
        <w:rPr/>
      </w:pPr>
      <w:r>
        <w:rPr/>
        <w:t>Transco</w:t>
        <w:tab/>
        <w:t>58%</w:t>
      </w:r>
    </w:p>
    <w:p>
      <w:pPr>
        <w:pStyle w:val="Normal"/>
        <w:ind w:start="720" w:end="0"/>
        <w:jc w:val="both"/>
        <w:rPr/>
      </w:pPr>
      <w:r>
        <w:rPr/>
        <w:t>TETCO</w:t>
        <w:tab/>
        <w:t>22%</w:t>
      </w:r>
    </w:p>
    <w:p>
      <w:pPr>
        <w:pStyle w:val="Normal"/>
        <w:ind w:start="720" w:end="0"/>
        <w:jc w:val="both"/>
        <w:rPr/>
      </w:pPr>
      <w:r>
        <w:rPr/>
        <w:t>Tennessee</w:t>
        <w:tab/>
        <w:t>12%</w:t>
      </w:r>
    </w:p>
    <w:p>
      <w:pPr>
        <w:pStyle w:val="Normal"/>
        <w:ind w:start="720" w:end="0"/>
        <w:jc w:val="both"/>
        <w:rPr/>
      </w:pPr>
      <w:r>
        <w:rPr/>
        <w:t>Iroquois</w:t>
        <w:tab/>
        <w:t>4%</w:t>
      </w:r>
    </w:p>
    <w:p>
      <w:pPr>
        <w:pStyle w:val="Normal"/>
        <w:ind w:start="720" w:end="0"/>
        <w:jc w:val="both"/>
        <w:rPr/>
      </w:pPr>
      <w:r>
        <w:rPr/>
        <w:t>Algonquin</w:t>
        <w:tab/>
        <w:t>4%</w:t>
      </w:r>
    </w:p>
    <w:p>
      <w:pPr>
        <w:pStyle w:val="Normal"/>
        <w:ind w:start="720" w:end="0"/>
        <w:jc w:val="both"/>
        <w:rPr/>
      </w:pPr>
      <w:r>
        <w:rPr/>
      </w:r>
    </w:p>
    <w:p>
      <w:pPr>
        <w:pStyle w:val="Normal"/>
        <w:jc w:val="both"/>
        <w:rPr/>
      </w:pPr>
      <w:r>
        <w:rPr/>
        <w:t>Imbalance Charges:</w:t>
      </w:r>
    </w:p>
    <w:p>
      <w:pPr>
        <w:pStyle w:val="Normal"/>
        <w:jc w:val="both"/>
        <w:rPr/>
      </w:pPr>
      <w:r>
        <w:rPr/>
      </w:r>
    </w:p>
    <w:p>
      <w:pPr>
        <w:pStyle w:val="Normal"/>
        <w:jc w:val="both"/>
        <w:rPr/>
      </w:pPr>
      <w:r>
        <w:rPr/>
        <w:t>Citygate Delivery, Daily Cashout Service:  when daily transportation quantity (confirmed scheduled quantity) exceeds quantity delivered by pipeline to receipt point, first 2% - no charge; over 2% summer - $1.00/therm; over 2% winter - $1/therm or actual pipeline charge, whichever is higher.</w:t>
      </w:r>
    </w:p>
    <w:p>
      <w:pPr>
        <w:pStyle w:val="Normal"/>
        <w:jc w:val="both"/>
        <w:rPr/>
      </w:pPr>
      <w:r>
        <w:rPr/>
      </w:r>
    </w:p>
    <w:p>
      <w:pPr>
        <w:pStyle w:val="Normal"/>
        <w:jc w:val="both"/>
        <w:rPr/>
      </w:pPr>
      <w:r>
        <w:rPr/>
        <w:t>Load Following Service, Daily Delivery Service and Capacity Balancing Service:  daily imbalance charges for these services are:</w:t>
      </w:r>
    </w:p>
    <w:p>
      <w:pPr>
        <w:pStyle w:val="Normal"/>
        <w:jc w:val="both"/>
        <w:rPr/>
      </w:pPr>
      <w:r>
        <w:rPr/>
      </w:r>
    </w:p>
    <w:p>
      <w:pPr>
        <w:pStyle w:val="Normal"/>
        <w:jc w:val="both"/>
        <w:rPr/>
      </w:pPr>
      <w:r>
        <w:rPr/>
        <w:tab/>
        <w:t xml:space="preserve">Surplus imbalance - $.10/therm, </w:t>
      </w:r>
    </w:p>
    <w:p>
      <w:pPr>
        <w:pStyle w:val="Normal"/>
        <w:ind w:start="720" w:end="0"/>
        <w:jc w:val="both"/>
        <w:rPr/>
      </w:pPr>
      <w:r>
        <w:rPr/>
        <w:t>Deficiency Imbalances during summer  $.10/therm</w:t>
      </w:r>
    </w:p>
    <w:p>
      <w:pPr>
        <w:pStyle w:val="Normal"/>
        <w:ind w:firstLine="720" w:end="0"/>
        <w:jc w:val="both"/>
        <w:rPr/>
      </w:pPr>
      <w:r>
        <w:rPr/>
        <w:t>Deficiency Imbalances during winter  $1.00/therm</w:t>
      </w:r>
    </w:p>
    <w:p>
      <w:pPr>
        <w:pStyle w:val="Normal"/>
        <w:ind w:firstLine="720" w:end="0"/>
        <w:jc w:val="both"/>
        <w:rPr/>
      </w:pPr>
      <w:r>
        <w:rPr/>
        <w:t>Deficiency Imbalances during OFO  $4.50/therm</w:t>
      </w:r>
    </w:p>
    <w:p>
      <w:pPr>
        <w:pStyle w:val="Normal"/>
        <w:ind w:firstLine="720" w:end="0"/>
        <w:jc w:val="both"/>
        <w:rPr/>
      </w:pPr>
      <w:r>
        <w:rPr/>
      </w:r>
    </w:p>
    <w:p>
      <w:pPr>
        <w:pStyle w:val="BodyText"/>
        <w:rPr/>
      </w:pPr>
      <w:r>
        <w:rPr/>
        <w:t xml:space="preserve">Monthly Cashout: Wellhead price shall be arithmetic average of wellhead pooling price – Louisiana, Onshore South, Zone 3, Station 65, Transco, for each day of the calendar month in Gas Daily.  Variable transportation cost will be actual variable transportation charges in Transco’s tariff from Station 65 to Con Ed citygate.  </w:t>
      </w:r>
    </w:p>
    <w:p>
      <w:pPr>
        <w:pStyle w:val="BodyText"/>
        <w:rPr/>
      </w:pPr>
      <w:r>
        <w:rPr/>
      </w:r>
    </w:p>
    <w:p>
      <w:pPr>
        <w:pStyle w:val="BodyText"/>
        <w:rPr/>
      </w:pPr>
      <w:r>
        <w:rPr/>
        <w:t>Daily Cashout:  Wellhead price for a surplus will be lower of arithmetic average of last 3 days closing prices for NYMEX futures contract for delivery month or daily low spot price at Zone 3, Station 65, Transco (Gas Daily).  Variable cost is the actual variable transportation charges as stated in Transco tariff from Station 65 to ConEd citygate.</w:t>
      </w:r>
    </w:p>
    <w:p>
      <w:pPr>
        <w:pStyle w:val="BodyText"/>
        <w:rPr/>
      </w:pPr>
      <w:r>
        <w:rPr/>
      </w:r>
    </w:p>
    <w:p>
      <w:pPr>
        <w:pStyle w:val="BodyText"/>
        <w:rPr/>
      </w:pPr>
      <w:r>
        <w:rPr/>
        <w:t xml:space="preserve">Daily Deficiency Imbalance:  Citygate cost shall be equal to higher of average cost of gas to firm customers for delivery month or daily high spot Citygate price at Zone 6, in Gas Daily.       </w:t>
      </w:r>
    </w:p>
    <w:p>
      <w:pPr>
        <w:pStyle w:val="Normal"/>
        <w:ind w:firstLine="720" w:end="0"/>
        <w:jc w:val="both"/>
        <w:rPr/>
      </w:pPr>
      <w:r>
        <w:rPr/>
      </w:r>
    </w:p>
    <w:p>
      <w:pPr>
        <w:pStyle w:val="BodyText"/>
        <w:rPr>
          <w:b/>
          <w:bCs/>
        </w:rPr>
      </w:pPr>
      <w:r>
        <w:rPr>
          <w:b/>
          <w:bCs/>
        </w:rPr>
        <w:t>PSE&amp;G:</w:t>
      </w:r>
    </w:p>
    <w:p>
      <w:pPr>
        <w:pStyle w:val="BodyText"/>
        <w:rPr>
          <w:b/>
          <w:bCs/>
        </w:rPr>
      </w:pPr>
      <w:r>
        <w:rPr>
          <w:b/>
          <w:bCs/>
        </w:rPr>
      </w:r>
    </w:p>
    <w:p>
      <w:pPr>
        <w:pStyle w:val="BodyText"/>
        <w:rPr/>
      </w:pPr>
      <w:r>
        <w:rPr/>
        <w:t>Public Service has a provision on discontinuance of service which provides that, upon reasonable notice, it may suspend or curtail or discontinue service for the following reasons:</w:t>
      </w:r>
    </w:p>
    <w:p>
      <w:pPr>
        <w:pStyle w:val="BodyText"/>
        <w:rPr/>
      </w:pPr>
      <w:r>
        <w:rPr/>
      </w:r>
    </w:p>
    <w:p>
      <w:pPr>
        <w:pStyle w:val="BodyText"/>
        <w:numPr>
          <w:ilvl w:val="0"/>
          <w:numId w:val="3"/>
        </w:numPr>
        <w:rPr/>
      </w:pPr>
      <w:r>
        <w:rPr/>
        <w:t xml:space="preserve">to make permanent or temporary repairs, changes or improvements to its system, </w:t>
      </w:r>
    </w:p>
    <w:p>
      <w:pPr>
        <w:pStyle w:val="BodyText"/>
        <w:numPr>
          <w:ilvl w:val="0"/>
          <w:numId w:val="3"/>
        </w:numPr>
        <w:rPr/>
      </w:pPr>
      <w:r>
        <w:rPr/>
        <w:t>to comply in good faith with governmental orders or directives,</w:t>
      </w:r>
    </w:p>
    <w:p>
      <w:pPr>
        <w:pStyle w:val="BodyText"/>
        <w:numPr>
          <w:ilvl w:val="0"/>
          <w:numId w:val="3"/>
        </w:numPr>
        <w:rPr/>
      </w:pPr>
      <w:r>
        <w:rPr/>
        <w:t xml:space="preserve">certain customer actions including non-payment of a bill, tampering with facilities, fraudulent representations, customer moves, providing service to others without permission, failure to make or increase deposits, refusal to contract for service, connecting equipment which interferes with service, failure to comply with terms and conditions of service,  conditions present a hazard.  </w:t>
      </w:r>
    </w:p>
    <w:p>
      <w:pPr>
        <w:pStyle w:val="BodyText"/>
        <w:rPr>
          <w:b/>
          <w:bCs/>
        </w:rPr>
      </w:pPr>
      <w:r>
        <w:rPr>
          <w:b/>
          <w:bCs/>
        </w:rPr>
      </w:r>
    </w:p>
    <w:p>
      <w:pPr>
        <w:pStyle w:val="BodyText"/>
        <w:rPr/>
      </w:pPr>
      <w:r>
        <w:rPr/>
        <w:t>Public Service will use diligent efforts to provide a regular and uninterrupted supply of service, but may interrupt in accordance with provisions above or should supply of service be interrupted, curtailed, deficient, etc. by reason of any act of God, accident, strike, legal process, government interference, or by reason of compliance with any governmental order or directive, Public Service shall not be liable for damages.  Public Service may interrupt in the event of an emergency threatening its system.</w:t>
      </w:r>
    </w:p>
    <w:p>
      <w:pPr>
        <w:pStyle w:val="BodyText"/>
        <w:rPr/>
      </w:pPr>
      <w:r>
        <w:rPr/>
      </w:r>
    </w:p>
    <w:p>
      <w:pPr>
        <w:pStyle w:val="BodyText"/>
        <w:rPr/>
      </w:pPr>
      <w:r>
        <w:rPr/>
        <w:t>Interruptible service under Rate Schedule ISG will be interrupted by No. 6 oil customers, then No. 4, then No. 2 oil customers.</w:t>
      </w:r>
    </w:p>
    <w:p>
      <w:pPr>
        <w:pStyle w:val="BodyText"/>
        <w:rPr/>
      </w:pPr>
      <w:r>
        <w:rPr/>
      </w:r>
    </w:p>
    <w:p>
      <w:pPr>
        <w:pStyle w:val="BodyText"/>
        <w:rPr/>
      </w:pPr>
      <w:r>
        <w:rPr/>
        <w:t>Under Rate Schedule TGS-F, which is firm transporation service, Public Service may, upon advance notice of at least 8 hours, order the customer to discontinue use of gas until further notice.  If customer does not discontinue service, it shall be charged $1.06 per therm for an amount equal to one hour’s maximum requirement per day of interruption.  The charge for all additional gas used shall be ten times the parity pricing commodity charge in Rate Schedule ISG for 0.3% No. 6 Oil for each therm of gas used in excess of the therms delivered to customer during the interruption.  Under Rate Schedule TGS-NF (Non firm), Public Service may sell gas to customers who have been interrupted (at its option).  The rate for this gas shall be no higher than the rate equal to the current cost per gallon of propane delivered to Public Service times 1.1 plus a charge of up to 19.1 cents.</w:t>
      </w:r>
    </w:p>
    <w:p>
      <w:pPr>
        <w:pStyle w:val="BodyText"/>
        <w:rPr/>
      </w:pPr>
      <w:r>
        <w:rPr/>
      </w:r>
    </w:p>
    <w:p>
      <w:pPr>
        <w:pStyle w:val="BodyText"/>
        <w:rPr/>
      </w:pPr>
      <w:r>
        <w:rPr/>
        <w:t>Under FT-GS (general service firm usage under 3000 therms/month) and FT-LV a charge of 5.885 cents per them is applied to balancing.  Emergency sales may be made during periods of interruption.  Public Service may curtail deliveries to the customer if deliveries from the customer’s seller under Rate Schedule FT-S are curtailed.  Under FT-LV, if during any month, the sum of month-to-date deliveries from a customer’s seller exceeds five time the seller’s aggregate daily contract quantity for the total of its firm gas transportation customers or if Public Service cannot confirm that the customer has an eligible seller, Public Service will immediately notify customer that for the balance of the month the customer will be billed, in addition to other charges, for its applicable DCQ at a rate equal to the sum of Public Service’s weighted average transportation cost including fuel, calculated at 100% load factor, a gas cost equal to the highest cost of gas purchased or used by Public Service adjusted for losses during that month, a charge of 19.1 cents, and all other charges and taxes.</w:t>
      </w:r>
    </w:p>
    <w:p>
      <w:pPr>
        <w:pStyle w:val="BodyText"/>
        <w:rPr/>
      </w:pPr>
      <w:r>
        <w:rPr/>
      </w:r>
    </w:p>
    <w:p>
      <w:pPr>
        <w:pStyle w:val="BodyText"/>
        <w:rPr/>
      </w:pPr>
      <w:r>
        <w:rPr/>
        <w:t>On any day that a seller delivers volumes other than the aggregate of the ADCQ’s of its FT-RSG, FT-LV and FT-GS customers, it will be subject to daily cashouts as follows:</w:t>
      </w:r>
    </w:p>
    <w:p>
      <w:pPr>
        <w:pStyle w:val="BodyText"/>
        <w:rPr/>
      </w:pPr>
      <w:r>
        <w:rPr/>
      </w:r>
    </w:p>
    <w:p>
      <w:pPr>
        <w:pStyle w:val="BodyText"/>
        <w:rPr/>
      </w:pPr>
      <w:r>
        <w:rPr/>
        <w:t>For underdeliveries, up to 5% of the ADCQ, seller will be cashed out at a rate equal to Public Service’s weighted average transportation cost including fuel, calculated at a 100% load factor, plus a gas cost equal to 110% of the highest weekly posting for the applicable month as published in Inside FERC’s Gas Market Report, Texas Eastern East Louisiana Zone.  For any underdeliveries greater than 5% on any day other than a Critical Period, seller will pay a charge equal to $10.00 per dekatherm.  If, upon 8 hours notice, Public Service calls a Critical Period, for underdeliveries by a seller greater than 5% of the ADCQ, seller will pay a dekatherm rate equal to ten times the highest price of the daily ranges for delivery into Transco Zone 6 or Texas Eastern Zone M-3, published in Gas Daily.  The rate shall not be lower than the max penalty charge for unauthorized daily overruns provided for in the FERC tariffs for pipelines which deliver gas into New Jersey.  Public Service may also recover proportionately from undelivered sellers any penalties or charges or damages assessed on it.</w:t>
      </w:r>
    </w:p>
    <w:p>
      <w:pPr>
        <w:pStyle w:val="BodyText"/>
        <w:rPr/>
      </w:pPr>
      <w:r>
        <w:rPr/>
      </w:r>
    </w:p>
    <w:p>
      <w:pPr>
        <w:pStyle w:val="BodyText"/>
        <w:rPr/>
      </w:pPr>
      <w:r>
        <w:rPr/>
        <w:t>During November through March, if a seller delivers an amount less than 90% of the sum of teir customer’s daily usage, seller will be cashed out and sold gas at a rate equal to $10/dekatherm for the difference between actual deliveries and 90% of total daily usage.  If Critical Day is called, seller will be cashed out at the difference between actual deliveries and 90% of total daily usage at a charge per dekatherm at a rate equal to ten times the highest price of the daily ranges for deliveries in Transco Zone 6 or TETCO Zone M-3, Gas Daily.  Public Service may also recover proportionately from undelivered sellers any penalties or charges or damages assessed on it.</w:t>
      </w:r>
    </w:p>
    <w:p>
      <w:pPr>
        <w:pStyle w:val="BodyText"/>
        <w:rPr/>
      </w:pPr>
      <w:r>
        <w:rPr/>
      </w:r>
    </w:p>
    <w:p>
      <w:pPr>
        <w:pStyle w:val="BodyText"/>
        <w:rPr/>
      </w:pPr>
      <w:r>
        <w:rPr/>
        <w:t xml:space="preserve">Public Service reserves the right to suspend transportation deliveries to any customer under Rate Schedules FT-RSG, LV, GS, TSG-F and TSG-NF if its sole opinion, seller is not able to meet delivery requirements.  </w:t>
      </w:r>
    </w:p>
    <w:p>
      <w:pPr>
        <w:pStyle w:val="BodyText"/>
        <w:rPr/>
      </w:pPr>
      <w:r>
        <w:rPr/>
      </w:r>
    </w:p>
    <w:p>
      <w:pPr>
        <w:pStyle w:val="Normal"/>
        <w:jc w:val="both"/>
        <w:rPr>
          <w:b/>
          <w:bCs/>
          <w:u w:val="single"/>
        </w:rPr>
      </w:pPr>
      <w:r>
        <w:rPr>
          <w:b/>
          <w:bCs/>
          <w:u w:val="single"/>
        </w:rPr>
        <w:t>LDCs IN CALIFORNIA MARKETS</w:t>
      </w:r>
    </w:p>
    <w:p>
      <w:pPr>
        <w:pStyle w:val="BodyText"/>
        <w:jc w:val="center"/>
        <w:rPr>
          <w:b/>
          <w:bCs/>
          <w:u w:val="single"/>
        </w:rPr>
      </w:pPr>
      <w:r>
        <w:rPr>
          <w:b/>
          <w:bCs/>
          <w:u w:val="single"/>
        </w:rPr>
      </w:r>
    </w:p>
    <w:p>
      <w:pPr>
        <w:pStyle w:val="BodyText"/>
        <w:numPr>
          <w:ilvl w:val="0"/>
          <w:numId w:val="0"/>
        </w:numPr>
        <w:outlineLvl w:val="0"/>
        <w:rPr>
          <w:b/>
        </w:rPr>
      </w:pPr>
      <w:r>
        <w:rPr>
          <w:b/>
        </w:rPr>
        <w:t>Pacific Gas and Electric Gas</w:t>
      </w:r>
    </w:p>
    <w:p>
      <w:pPr>
        <w:pStyle w:val="BodyText"/>
        <w:numPr>
          <w:ilvl w:val="0"/>
          <w:numId w:val="0"/>
        </w:numPr>
        <w:outlineLvl w:val="0"/>
        <w:rPr>
          <w:b/>
          <w:u w:val="single"/>
        </w:rPr>
      </w:pPr>
      <w:r>
        <w:rPr>
          <w:b/>
          <w:u w:val="single"/>
        </w:rPr>
      </w:r>
    </w:p>
    <w:p>
      <w:pPr>
        <w:pStyle w:val="BodyText"/>
        <w:numPr>
          <w:ilvl w:val="0"/>
          <w:numId w:val="0"/>
        </w:numPr>
        <w:outlineLvl w:val="0"/>
        <w:rPr>
          <w:bCs/>
        </w:rPr>
      </w:pPr>
      <w:r>
        <w:rPr>
          <w:bCs/>
        </w:rPr>
        <w:t>Curtailment and Diversion Procedures:</w:t>
      </w:r>
    </w:p>
    <w:p>
      <w:pPr>
        <w:pStyle w:val="BodyText"/>
        <w:numPr>
          <w:ilvl w:val="0"/>
          <w:numId w:val="0"/>
        </w:numPr>
        <w:outlineLvl w:val="0"/>
        <w:rPr>
          <w:bCs/>
        </w:rPr>
      </w:pPr>
      <w:r>
        <w:rPr>
          <w:bCs/>
        </w:rPr>
      </w:r>
    </w:p>
    <w:p>
      <w:pPr>
        <w:pStyle w:val="BodyText"/>
        <w:rPr/>
      </w:pPr>
      <w:r>
        <w:rPr/>
        <w:t xml:space="preserve">In Rule 14 of its tariff, PG&amp;E has set out procedures for instances in which it will have to reduce or adjust nominations at a particular receipt point to match the capacity available at the receipt point and for delivery point restrictions.  PG&amp;E may interrupt or reduce delivery of natural gas in the event of a projected or actual capacity restraint or projected or actual supply shortage on its system.  PG&amp;E will curtail gas to protect the integrity of its pipeline system (OFOs) and if operational conditions exist such that supply is insufficient to meet demand and deliveries to Core-End-Use Customers are threatened (EFOs).  During OFOs and EFOs the use of gas may result in significant penalties.  </w:t>
      </w:r>
    </w:p>
    <w:p>
      <w:pPr>
        <w:pStyle w:val="BodyText"/>
        <w:jc w:val="center"/>
        <w:rPr>
          <w:u w:val="single"/>
        </w:rPr>
      </w:pPr>
      <w:r>
        <w:rPr>
          <w:u w:val="single"/>
        </w:rPr>
      </w:r>
    </w:p>
    <w:p>
      <w:pPr>
        <w:pStyle w:val="BodyText"/>
        <w:numPr>
          <w:ilvl w:val="0"/>
          <w:numId w:val="0"/>
        </w:numPr>
        <w:outlineLvl w:val="0"/>
        <w:rPr>
          <w:u w:val="single"/>
        </w:rPr>
      </w:pPr>
      <w:r>
        <w:rPr>
          <w:u w:val="single"/>
        </w:rPr>
        <w:t>Compensation</w:t>
      </w:r>
    </w:p>
    <w:p>
      <w:pPr>
        <w:pStyle w:val="BodyText"/>
        <w:rPr/>
      </w:pPr>
      <w:r>
        <w:rPr/>
        <w:t xml:space="preserve">Gas supply may be diverted from noncore on behalf of core.  Compensation for Firm transmission service clients is a $5/th credit.  As-available transmission service customers whose gas is diverted will receive a credit based on the current market price of the diverted supply on the day it was diverted.   </w:t>
      </w:r>
    </w:p>
    <w:p>
      <w:pPr>
        <w:pStyle w:val="BodyText"/>
        <w:jc w:val="center"/>
        <w:rPr>
          <w:u w:val="single"/>
        </w:rPr>
      </w:pPr>
      <w:r>
        <w:rPr>
          <w:u w:val="single"/>
        </w:rPr>
      </w:r>
    </w:p>
    <w:p>
      <w:pPr>
        <w:pStyle w:val="BodyText"/>
        <w:numPr>
          <w:ilvl w:val="0"/>
          <w:numId w:val="0"/>
        </w:numPr>
        <w:outlineLvl w:val="0"/>
        <w:rPr>
          <w:u w:val="single"/>
        </w:rPr>
      </w:pPr>
      <w:r>
        <w:rPr>
          <w:u w:val="single"/>
        </w:rPr>
        <w:t>Curtailment</w:t>
      </w:r>
    </w:p>
    <w:p>
      <w:pPr>
        <w:pStyle w:val="BodyText"/>
        <w:rPr/>
      </w:pPr>
      <w:r>
        <w:rPr/>
        <w:t>PG&amp;E will attempt to give customers or their authorized agents 24-hour notice of an impending service restriction or, at minimum, as much notice as is possible under the circumstances.</w:t>
      </w:r>
    </w:p>
    <w:p>
      <w:pPr>
        <w:pStyle w:val="BodyText"/>
        <w:rPr/>
      </w:pPr>
      <w:r>
        <w:rPr/>
        <w:t>The priority of service at transmission, delivery, and receipt points and storage injection and withdrawal points will follow this sequence:</w:t>
      </w:r>
    </w:p>
    <w:p>
      <w:pPr>
        <w:pStyle w:val="BodyText"/>
        <w:rPr/>
      </w:pPr>
      <w:r>
        <w:rPr/>
      </w:r>
    </w:p>
    <w:p>
      <w:pPr>
        <w:pStyle w:val="BodyText"/>
        <w:ind w:hanging="720" w:start="2160" w:end="0"/>
        <w:rPr/>
      </w:pPr>
      <w:r>
        <w:rPr/>
        <w:t>1.</w:t>
        <w:tab/>
        <w:t>All Firm service at a given point path will be treated equally, with pro rata allocation of nominations, if necessary;</w:t>
      </w:r>
    </w:p>
    <w:p>
      <w:pPr>
        <w:pStyle w:val="BodyText"/>
        <w:ind w:hanging="720" w:start="2160" w:end="0"/>
        <w:rPr/>
      </w:pPr>
      <w:r>
        <w:rPr/>
        <w:t>2.</w:t>
        <w:tab/>
        <w:t>As-available service will be scheduled according to contract price with the lowest price capacity interrupted first.</w:t>
      </w:r>
    </w:p>
    <w:p>
      <w:pPr>
        <w:pStyle w:val="BodyText"/>
        <w:rPr/>
      </w:pPr>
      <w:r>
        <w:rPr/>
      </w:r>
    </w:p>
    <w:p>
      <w:pPr>
        <w:pStyle w:val="BodyText"/>
        <w:rPr/>
      </w:pPr>
      <w:r>
        <w:rPr/>
        <w:t xml:space="preserve">PG&amp;E may invoke Operational Flow Orders “in order to protect the integrity of its pipeline system.”  In an OFO situation PG&amp;E will issue and implement system-wide, local, or Customer-specific restrictions as needed.  PG&amp;E will issue an OFO for a Gas day if, on the day before, PG&amp;E’s forecast of pipeline inventory is either below the Lower pipeline Inventory Limit or above the Upper Pipeline Inventory Limit.  If PG&amp;E issues an OFO, Balancing Agents will be required to balance supply and demand on a daily basis within a specified tolerance band or be subject to charges for noncompliance.  PG&amp;E may elect not to issue an OFO for a Gas Day if the forecast of pipeline inventory for the day following the Gas Day indicates the pipeline inventory will return to within the Pipeline Inventory Limits without the assistance of an OFO.  </w:t>
      </w:r>
    </w:p>
    <w:p>
      <w:pPr>
        <w:pStyle w:val="BodyText"/>
        <w:rPr/>
      </w:pPr>
      <w:r>
        <w:rPr/>
        <w:t>PG&amp;E may implement multi-stage OFO provision charges, as follows:</w:t>
      </w:r>
    </w:p>
    <w:p>
      <w:pPr>
        <w:pStyle w:val="BodyText"/>
        <w:rPr/>
      </w:pPr>
      <w:r>
        <w:rPr/>
        <w:t>Tolerance Band</w:t>
        <w:tab/>
        <w:tab/>
        <w:t>Noncompliance Charge Per Therm</w:t>
      </w:r>
    </w:p>
    <w:p>
      <w:pPr>
        <w:pStyle w:val="BodyText"/>
        <w:rPr/>
      </w:pPr>
      <w:r>
        <w:rPr/>
        <w:t>Stage 1:</w:t>
        <w:tab/>
        <w:t>up to +/-25%</w:t>
        <w:tab/>
        <w:tab/>
        <w:tab/>
        <w:t>$0.025</w:t>
      </w:r>
    </w:p>
    <w:p>
      <w:pPr>
        <w:pStyle w:val="BodyText"/>
        <w:rPr/>
      </w:pPr>
      <w:r>
        <w:rPr/>
        <w:t>Stage 2:</w:t>
        <w:tab/>
        <w:t>up to +/-20%</w:t>
        <w:tab/>
        <w:tab/>
        <w:tab/>
        <w:t>$0.10</w:t>
      </w:r>
    </w:p>
    <w:p>
      <w:pPr>
        <w:pStyle w:val="BodyText"/>
        <w:rPr/>
      </w:pPr>
      <w:r>
        <w:rPr/>
        <w:t>Stage 3:</w:t>
        <w:tab/>
        <w:t>up to +/-15%</w:t>
        <w:tab/>
        <w:tab/>
        <w:tab/>
        <w:t>$0.50</w:t>
      </w:r>
    </w:p>
    <w:p>
      <w:pPr>
        <w:pStyle w:val="BodyText"/>
        <w:rPr/>
      </w:pPr>
      <w:r>
        <w:rPr/>
        <w:t>Stage 4</w:t>
        <w:tab/>
        <w:tab/>
        <w:t>up to +/-5%</w:t>
        <w:tab/>
        <w:tab/>
        <w:tab/>
        <w:t>$2.50</w:t>
      </w:r>
    </w:p>
    <w:p>
      <w:pPr>
        <w:pStyle w:val="BodyText"/>
        <w:rPr/>
      </w:pPr>
      <w:r>
        <w:rPr/>
        <w:tab/>
        <w:tab/>
        <w:t xml:space="preserve">PG&amp;E may issue and implement an OFO with a one-sided tolerance band, and related non-compliance charges in one direction only (i.e. an OFO with a –25% (-25%) tolerance band and $0.025 per therm noncompliance charge.  Generally an initial OFO event will start at Stage 1 with a noncompliance charge of $0.025 per therm, however an OFO event may begin at any stage with the corresponding noncompliance charge as deemed appropriate by PG&amp;E.  A specific Balancing Agent may start at an elevated charge level if that Balancing Agent has a history of noncompliance with prior PG&amp;E requests or orders for the Balancing Agent to balance supply with demands.  An OFO will normally be ordered with at least 12 hours prior notice to the beginning of the gas day, or as necessary as dictated by operating conditions.  </w:t>
      </w:r>
    </w:p>
    <w:p>
      <w:pPr>
        <w:pStyle w:val="BodyText"/>
        <w:rPr/>
      </w:pPr>
      <w:r>
        <w:rPr/>
      </w:r>
    </w:p>
    <w:p>
      <w:pPr>
        <w:pStyle w:val="BodyText"/>
        <w:rPr/>
      </w:pPr>
      <w:r>
        <w:rPr/>
        <w:t>On OFO days, any Balancing Agent who has selected the Self-Balancing Option will be required to comply with the tolerance band specified for that OFO day.  The Self-Balancing plus or minus 10% daily Imbalance tolerance will not apply on days when an OFO is in effect.  A Self-Balancing Agent will not be subject to Accumulated Daily Imbalance Noncompliance Charges on high inventory OFO days if the Accumulated Daily Imbalance is negative, or if on low inventory OFO days the Accumulated Daily Imbalance is positive.  Any imbalance that occurs on that OFO day will be included as part of a customer’s on going accumulated Daily Imbalance calculation.</w:t>
      </w:r>
    </w:p>
    <w:p>
      <w:pPr>
        <w:pStyle w:val="BodyText"/>
        <w:rPr/>
      </w:pPr>
      <w:r>
        <w:rPr/>
      </w:r>
    </w:p>
    <w:p>
      <w:pPr>
        <w:pStyle w:val="BodyText"/>
        <w:rPr/>
      </w:pPr>
      <w:r>
        <w:rPr/>
        <w:t>Much more severe than OFOs, PG&amp;E may also issue an Emergency Flow Order, when a forecast or an actual supply and/or capacity shortage threatens deliveries to End-Use Customers.  During an EFO, customers’ usage must be less than or equal to supply for a gas day.  EFOs will have a zero (0) % tolerance and a $5.00/th noncompliance charge for each therm of usage in excess of supply.</w:t>
      </w:r>
    </w:p>
    <w:p>
      <w:pPr>
        <w:pStyle w:val="BodyText"/>
        <w:ind w:firstLine="720" w:start="1440" w:end="0"/>
        <w:rPr/>
      </w:pPr>
      <w:r>
        <w:rPr/>
      </w:r>
    </w:p>
    <w:p>
      <w:pPr>
        <w:pStyle w:val="BodyText"/>
        <w:rPr/>
      </w:pPr>
      <w:r>
        <w:rPr/>
        <w:t>If PG&amp;E invokes an involuntary supply diversion in conjunction with an EFO, an additional $5/th diversion usage charge will apply for a total involuntary diversion charge of $10/th for all gas delivered in excess of the supply received by PG&amp;E.  There is no minimum notice period for EFOs; however, PG&amp;E will try to provide as much notification as possible.</w:t>
      </w:r>
    </w:p>
    <w:p>
      <w:pPr>
        <w:pStyle w:val="BodyText"/>
        <w:jc w:val="center"/>
        <w:rPr>
          <w:u w:val="single"/>
        </w:rPr>
      </w:pPr>
      <w:r>
        <w:rPr>
          <w:u w:val="single"/>
        </w:rPr>
      </w:r>
    </w:p>
    <w:p>
      <w:pPr>
        <w:pStyle w:val="BodyText"/>
        <w:numPr>
          <w:ilvl w:val="0"/>
          <w:numId w:val="0"/>
        </w:numPr>
        <w:outlineLvl w:val="0"/>
        <w:rPr>
          <w:u w:val="single"/>
        </w:rPr>
      </w:pPr>
      <w:r>
        <w:rPr>
          <w:u w:val="single"/>
        </w:rPr>
        <w:t>Diversion of Gas</w:t>
      </w:r>
    </w:p>
    <w:p>
      <w:pPr>
        <w:pStyle w:val="BodyText"/>
        <w:rPr/>
      </w:pPr>
      <w:r>
        <w:rPr/>
        <w:t xml:space="preserve">If operational conditions exist such that supply is insufficient to meet demand and deliveries to Core End-Use Customers are threatened, PG&amp;E may divert gas supply in its system from Noncore End-Use Customers to Core End-Use Customers.  Emergency Flow Order provisions will apply under these conditions.  If a Noncore End-Use Customer’s supply is diverted, either involuntarily under this rule, or through a voluntary arrangement with representatives of Core End-Use or Noncore End-Use Customers, that Customer must stop or reduce its use of natural gas.  If the Customer fails to stop or reduce its gas use, that Customer must pay EFO charges as provided below.  </w:t>
      </w:r>
    </w:p>
    <w:p>
      <w:pPr>
        <w:pStyle w:val="BodyText"/>
        <w:rPr/>
      </w:pPr>
      <w:r>
        <w:rPr/>
        <w:t>If PG&amp;E diverts for Core End-use Customers, PG&amp;E will not be responsible for any interstate charges associated with the diverted gas.  PG&amp;E may divert gas supplies from Backbone Transmission System Customers; however, Firm transportation to off-system is not subject to diversion.  Diversions will occur in the following order:</w:t>
      </w:r>
    </w:p>
    <w:p>
      <w:pPr>
        <w:pStyle w:val="BodyText"/>
        <w:rPr/>
      </w:pPr>
      <w:r>
        <w:rPr/>
      </w:r>
    </w:p>
    <w:p>
      <w:pPr>
        <w:pStyle w:val="BodyText"/>
        <w:ind w:hanging="720" w:start="2160" w:end="0"/>
        <w:rPr/>
      </w:pPr>
      <w:r>
        <w:rPr/>
        <w:t xml:space="preserve">A) </w:t>
        <w:tab/>
        <w:t>Supply scheduled under As-available transmission service will be diverted in the order of increasing transmission contract price and on a pro rata basis for all volumes transported under the same price.  However supply under scheduled deliveries from storage using As-Available transmission service will be treated as the highest priority Firm Transmission service.</w:t>
      </w:r>
    </w:p>
    <w:p>
      <w:pPr>
        <w:pStyle w:val="BodyText"/>
        <w:ind w:hanging="720" w:start="2160" w:end="0"/>
        <w:rPr/>
      </w:pPr>
      <w:r>
        <w:rPr/>
      </w:r>
    </w:p>
    <w:p>
      <w:pPr>
        <w:pStyle w:val="BodyText"/>
        <w:ind w:hanging="720" w:start="2160" w:end="0"/>
        <w:rPr/>
      </w:pPr>
      <w:r>
        <w:rPr/>
        <w:t xml:space="preserve">B) </w:t>
        <w:tab/>
        <w:t>Supply scheduled to Noncore End-user Customers under Firm transmission service is diverted on a pro rata basis.</w:t>
      </w:r>
    </w:p>
    <w:p>
      <w:pPr>
        <w:pStyle w:val="BodyText"/>
        <w:ind w:hanging="720" w:start="2160" w:end="0"/>
        <w:rPr/>
      </w:pPr>
      <w:r>
        <w:rPr/>
      </w:r>
    </w:p>
    <w:p>
      <w:pPr>
        <w:pStyle w:val="BodyText"/>
        <w:ind w:hanging="720" w:start="2160" w:end="0"/>
        <w:rPr/>
      </w:pPr>
      <w:r>
        <w:rPr/>
        <w:t xml:space="preserve">C) </w:t>
        <w:tab/>
        <w:t>Scheduled deliveries from storage using Firm or As-available transmission service will be treated as the highest priority Firm transmission service and will be diverted on a pro rata basis.</w:t>
      </w:r>
    </w:p>
    <w:p>
      <w:pPr>
        <w:pStyle w:val="BodyText"/>
        <w:rPr/>
      </w:pPr>
      <w:r>
        <w:rPr/>
      </w:r>
    </w:p>
    <w:p>
      <w:pPr>
        <w:pStyle w:val="BodyText"/>
        <w:rPr/>
      </w:pPr>
      <w:r>
        <w:rPr/>
        <w:t>For a Core Procurement Group, compliance and the calculation after the involuntary diversion event of any involuntary diversion charge is based on the latest available forecast from the core load forecast model for the CP group prior to the time the event is called, up to and including a 5:00 p.m. Pacific Time Forecast, and the CP Group’s original supply before an involuntary diversion.</w:t>
      </w:r>
    </w:p>
    <w:p>
      <w:pPr>
        <w:pStyle w:val="BodyText"/>
        <w:rPr/>
      </w:pPr>
      <w:r>
        <w:rPr/>
      </w:r>
    </w:p>
    <w:p>
      <w:pPr>
        <w:pStyle w:val="BodyText"/>
        <w:rPr/>
      </w:pPr>
      <w:r>
        <w:rPr/>
        <w:t xml:space="preserve">Firm transmission service customers whose gas supply is involuntarily diverted will receive a $5/th diversion credit.  As-available transmission service customers whose gas supply is involuntarily diverted will receive a diversion credit based on the current market price of the diverted supply on the day it was diverted, the current market price will be based, except in unusual situations, on an average of the published price data from Natural Gas Intelligence and the BTU Gas Wire for the PG&amp;E interconnect points of Malin and Topock weighted by the supply mix of all gas received at Malin and Topock for on system End–Use Customers for that day. </w:t>
      </w:r>
    </w:p>
    <w:p>
      <w:pPr>
        <w:pStyle w:val="BodyText"/>
        <w:jc w:val="center"/>
        <w:rPr>
          <w:b/>
          <w:u w:val="single"/>
        </w:rPr>
      </w:pPr>
      <w:r>
        <w:rPr>
          <w:b/>
          <w:u w:val="single"/>
        </w:rPr>
      </w:r>
    </w:p>
    <w:p>
      <w:pPr>
        <w:pStyle w:val="BodyText"/>
        <w:numPr>
          <w:ilvl w:val="0"/>
          <w:numId w:val="0"/>
        </w:numPr>
        <w:outlineLvl w:val="0"/>
        <w:rPr>
          <w:b/>
        </w:rPr>
      </w:pPr>
      <w:r>
        <w:rPr>
          <w:b/>
        </w:rPr>
        <w:t>SoCalGas</w:t>
      </w:r>
    </w:p>
    <w:p>
      <w:pPr>
        <w:pStyle w:val="BodyText"/>
        <w:numPr>
          <w:ilvl w:val="0"/>
          <w:numId w:val="0"/>
        </w:numPr>
        <w:outlineLvl w:val="0"/>
        <w:rPr>
          <w:b/>
          <w:u w:val="single"/>
        </w:rPr>
      </w:pPr>
      <w:r>
        <w:rPr>
          <w:b/>
          <w:u w:val="single"/>
        </w:rPr>
      </w:r>
    </w:p>
    <w:p>
      <w:pPr>
        <w:pStyle w:val="BodyText"/>
        <w:numPr>
          <w:ilvl w:val="0"/>
          <w:numId w:val="0"/>
        </w:numPr>
        <w:outlineLvl w:val="0"/>
        <w:rPr>
          <w:bCs/>
        </w:rPr>
      </w:pPr>
      <w:r>
        <w:rPr>
          <w:bCs/>
        </w:rPr>
        <w:t>Curtailment and Diversion Procedures:</w:t>
      </w:r>
    </w:p>
    <w:p>
      <w:pPr>
        <w:pStyle w:val="BodyText"/>
        <w:numPr>
          <w:ilvl w:val="0"/>
          <w:numId w:val="0"/>
        </w:numPr>
        <w:outlineLvl w:val="0"/>
        <w:rPr>
          <w:bCs/>
        </w:rPr>
      </w:pPr>
      <w:r>
        <w:rPr>
          <w:bCs/>
        </w:rPr>
      </w:r>
    </w:p>
    <w:p>
      <w:pPr>
        <w:pStyle w:val="BodyText"/>
        <w:rPr/>
      </w:pPr>
      <w:r>
        <w:rPr/>
        <w:t>SoCalGas has set out its curtailment procedures in Rule 23 of its tariff.  If there is a threatened or actual shortage creating an emergency condition for Priority 1 and 2A customers, the Utility may curtail or divert service of all customers.  Customers who do not follow SoCalGas’ curtailment procedures will be subject to significant penalties.  Compensation for firm intrastate transmission customers is set at $ 0.25 per therm of gas curtailed or diverted.</w:t>
      </w:r>
    </w:p>
    <w:p>
      <w:pPr>
        <w:pStyle w:val="BodyText"/>
        <w:jc w:val="center"/>
        <w:rPr>
          <w:u w:val="single"/>
        </w:rPr>
      </w:pPr>
      <w:r>
        <w:rPr>
          <w:u w:val="single"/>
        </w:rPr>
      </w:r>
    </w:p>
    <w:p>
      <w:pPr>
        <w:pStyle w:val="BodyText"/>
        <w:numPr>
          <w:ilvl w:val="0"/>
          <w:numId w:val="0"/>
        </w:numPr>
        <w:outlineLvl w:val="0"/>
        <w:rPr>
          <w:u w:val="single"/>
        </w:rPr>
      </w:pPr>
      <w:r>
        <w:rPr>
          <w:u w:val="single"/>
        </w:rPr>
        <w:t>Curtailment</w:t>
      </w:r>
    </w:p>
    <w:p>
      <w:pPr>
        <w:pStyle w:val="BodyText"/>
        <w:rPr/>
      </w:pPr>
      <w:r>
        <w:rPr/>
        <w:t>If SoCalGas has to curtail service and/or divert customer-owned gas, it will follow this sequence:</w:t>
      </w:r>
    </w:p>
    <w:p>
      <w:pPr>
        <w:pStyle w:val="BodyText"/>
        <w:rPr/>
      </w:pPr>
      <w:r>
        <w:rPr/>
        <w:t>1)</w:t>
        <w:tab/>
      </w:r>
      <w:r>
        <w:rPr>
          <w:u w:val="single"/>
        </w:rPr>
        <w:t>All interruptible noncore Standby Procurement service</w:t>
      </w:r>
      <w:r>
        <w:rPr/>
        <w:t>.</w:t>
      </w:r>
    </w:p>
    <w:p>
      <w:pPr>
        <w:pStyle w:val="BodyText"/>
        <w:rPr/>
      </w:pPr>
      <w:r>
        <w:rPr/>
      </w:r>
    </w:p>
    <w:p>
      <w:pPr>
        <w:pStyle w:val="BodyText"/>
        <w:rPr/>
      </w:pPr>
      <w:r>
        <w:rPr/>
        <w:t>2)</w:t>
        <w:tab/>
      </w:r>
      <w:r>
        <w:rPr>
          <w:u w:val="single"/>
        </w:rPr>
        <w:t>All firm noncore Standby Procurement service</w:t>
      </w:r>
    </w:p>
    <w:p>
      <w:pPr>
        <w:pStyle w:val="BodyText"/>
        <w:rPr/>
      </w:pPr>
      <w:r>
        <w:rPr/>
      </w:r>
    </w:p>
    <w:p>
      <w:pPr>
        <w:pStyle w:val="BodyText"/>
        <w:rPr/>
      </w:pPr>
      <w:r>
        <w:rPr/>
        <w:t xml:space="preserve">3) </w:t>
        <w:tab/>
      </w:r>
      <w:r>
        <w:rPr>
          <w:u w:val="single"/>
        </w:rPr>
        <w:t>All inter-utility service provided under Schedule No. GIT</w:t>
      </w:r>
    </w:p>
    <w:p>
      <w:pPr>
        <w:pStyle w:val="BodyText"/>
        <w:ind w:hanging="720" w:start="2160" w:end="0"/>
        <w:rPr/>
      </w:pPr>
      <w:r>
        <w:rPr/>
      </w:r>
    </w:p>
    <w:p>
      <w:pPr>
        <w:pStyle w:val="BodyText"/>
        <w:ind w:hanging="720" w:start="2160" w:end="0"/>
        <w:rPr/>
      </w:pPr>
      <w:r>
        <w:rPr/>
        <w:t>4)</w:t>
        <w:tab/>
      </w:r>
      <w:r>
        <w:rPr>
          <w:u w:val="single"/>
        </w:rPr>
        <w:t>All as-available storage withdrawal service, provided under Schedule No. G-AUC</w:t>
      </w:r>
      <w:r>
        <w:rPr/>
        <w:t>, or portions thereof according to the as-available withdrawal reservation price paid with customers paying the lowest price curtailed first and customers paying the highest price curtailed last.  Customers paying the same price will be curtailed on a pro rata basis with the exception that all UEG service shall be curtailed before cogeneration service.</w:t>
      </w:r>
    </w:p>
    <w:p>
      <w:pPr>
        <w:pStyle w:val="BodyText"/>
        <w:ind w:hanging="720" w:start="2160" w:end="0"/>
        <w:rPr/>
      </w:pPr>
      <w:r>
        <w:rPr/>
      </w:r>
    </w:p>
    <w:p>
      <w:pPr>
        <w:pStyle w:val="BodyText"/>
        <w:ind w:hanging="720" w:start="2160" w:end="0"/>
        <w:rPr/>
      </w:pPr>
      <w:r>
        <w:rPr/>
        <w:t xml:space="preserve">5) </w:t>
        <w:tab/>
      </w:r>
      <w:r>
        <w:rPr>
          <w:u w:val="single"/>
        </w:rPr>
        <w:t>All interruptible intrastate service</w:t>
      </w:r>
      <w:r>
        <w:rPr/>
        <w:t xml:space="preserve"> according to the percentage of default rate paid, as defined in Rule No. 1, with customers paying the lowest percentage of default curtailed first.  Customers paying the same percentage of default shall be curtailed on a pro rata basis (by equal percentage) with the exception that all UEG service shall be curtailed before cogeneration service where such service is at the same percentage of default.</w:t>
      </w:r>
    </w:p>
    <w:p>
      <w:pPr>
        <w:pStyle w:val="BodyText"/>
        <w:ind w:hanging="720" w:start="2160" w:end="0"/>
        <w:rPr/>
      </w:pPr>
      <w:r>
        <w:rPr/>
      </w:r>
    </w:p>
    <w:p>
      <w:pPr>
        <w:pStyle w:val="BodyText"/>
        <w:ind w:hanging="720" w:start="2160" w:end="0"/>
        <w:rPr/>
      </w:pPr>
      <w:r>
        <w:rPr/>
        <w:t>6)</w:t>
        <w:tab/>
      </w:r>
      <w:r>
        <w:rPr>
          <w:u w:val="single"/>
        </w:rPr>
        <w:t>All firm intrastate service on a rotating basis</w:t>
      </w:r>
      <w:r>
        <w:rPr/>
        <w:t xml:space="preserve">.  (Customers shall be separated into 2 firm service curtailment lists.  The first list shall be for UEG and cogeneration customers and the second list shall be for all other firm service customers.  Lottery or some other non-discriminatory means shall decide the order of the customers on the 2 lists.  Then SoCalGas will aggregate customers with peak day usage under 20MMcfd into blocks of approximately 20 MMcfd, to the extent possible)  </w:t>
      </w:r>
    </w:p>
    <w:p>
      <w:pPr>
        <w:pStyle w:val="BodyText"/>
        <w:ind w:start="2160" w:end="0"/>
        <w:rPr/>
      </w:pPr>
      <w:r>
        <w:rPr/>
        <w:t>During any period of firm intrastate service curtailment, standby procurement service shall be made available to core transportation customers.  During such a curtailment period, however, core transportation customers using standby procurement in excess of the 10% tolerance band shall pay a curtailment violation penalty.  In the event of a firm service curtailment, SoCalGas shall curtail, in unison, that number of customer blocks necessary to provide for a sufficient level of curtailment.  The customer blocks shall be established by selecting the first customer block from one firm service list, then selecting the first customer block from the other firm service list.</w:t>
      </w:r>
    </w:p>
    <w:p>
      <w:pPr>
        <w:pStyle w:val="BodyText"/>
        <w:ind w:hanging="720" w:start="2160" w:end="0"/>
        <w:rPr/>
      </w:pPr>
      <w:r>
        <w:rPr/>
      </w:r>
    </w:p>
    <w:p>
      <w:pPr>
        <w:pStyle w:val="BodyText"/>
        <w:ind w:hanging="720" w:start="2160" w:end="0"/>
        <w:rPr/>
      </w:pPr>
      <w:r>
        <w:rPr/>
        <w:t>7)</w:t>
        <w:tab/>
      </w:r>
      <w:r>
        <w:rPr>
          <w:u w:val="single"/>
        </w:rPr>
        <w:t>All firm unbundled storage withdrawal</w:t>
      </w:r>
      <w:r>
        <w:rPr/>
        <w:t>, equally with the Utility’s core price function storage, on a pro rata basis with the exception that all UEG service shall be curtailed before cogeneration service.</w:t>
      </w:r>
    </w:p>
    <w:p>
      <w:pPr>
        <w:pStyle w:val="BodyText"/>
        <w:ind w:hanging="720" w:start="2160" w:end="0"/>
        <w:rPr/>
      </w:pPr>
      <w:r>
        <w:rPr/>
      </w:r>
    </w:p>
    <w:p>
      <w:pPr>
        <w:pStyle w:val="BodyText"/>
        <w:ind w:hanging="720" w:start="2160" w:end="0"/>
        <w:rPr/>
      </w:pPr>
      <w:r>
        <w:rPr/>
        <w:t>8)</w:t>
        <w:tab/>
      </w:r>
      <w:r>
        <w:rPr>
          <w:u w:val="single"/>
        </w:rPr>
        <w:t>All priority 2A service on a pro rata basis.</w:t>
      </w:r>
    </w:p>
    <w:p>
      <w:pPr>
        <w:pStyle w:val="BodyText"/>
        <w:ind w:hanging="720" w:start="2160" w:end="0"/>
        <w:rPr/>
      </w:pPr>
      <w:r>
        <w:rPr/>
      </w:r>
    </w:p>
    <w:p>
      <w:pPr>
        <w:pStyle w:val="BodyText"/>
        <w:ind w:hanging="720" w:start="2160" w:end="0"/>
        <w:rPr/>
      </w:pPr>
      <w:r>
        <w:rPr/>
        <w:t>9)</w:t>
        <w:tab/>
      </w:r>
      <w:r>
        <w:rPr>
          <w:u w:val="single"/>
        </w:rPr>
        <w:t>All Priority 1 non-residential service on a pro rata basis</w:t>
      </w:r>
      <w:r>
        <w:rPr/>
        <w:t>.</w:t>
      </w:r>
    </w:p>
    <w:p>
      <w:pPr>
        <w:pStyle w:val="BodyText"/>
        <w:ind w:hanging="720" w:start="2160" w:end="0"/>
        <w:rPr/>
      </w:pPr>
      <w:r>
        <w:rPr/>
      </w:r>
    </w:p>
    <w:p>
      <w:pPr>
        <w:pStyle w:val="BodyText"/>
        <w:ind w:hanging="720" w:start="2160" w:end="0"/>
        <w:rPr/>
      </w:pPr>
      <w:r>
        <w:rPr/>
        <w:t>10)</w:t>
        <w:tab/>
      </w:r>
      <w:r>
        <w:rPr>
          <w:u w:val="single"/>
        </w:rPr>
        <w:t>All Priority 1 residential service on a pro rata basis</w:t>
      </w:r>
      <w:r>
        <w:rPr/>
        <w:t xml:space="preserve">.  </w:t>
      </w:r>
    </w:p>
    <w:p>
      <w:pPr>
        <w:pStyle w:val="BodyText"/>
        <w:ind w:hanging="720" w:start="2160" w:end="0"/>
        <w:rPr/>
      </w:pPr>
      <w:r>
        <w:rPr/>
      </w:r>
    </w:p>
    <w:p>
      <w:pPr>
        <w:pStyle w:val="BodyText"/>
        <w:rPr/>
      </w:pPr>
      <w:r>
        <w:rPr/>
      </w:r>
    </w:p>
    <w:p>
      <w:pPr>
        <w:pStyle w:val="BodyText"/>
        <w:rPr/>
      </w:pPr>
      <w:r>
        <w:rPr/>
        <w:t xml:space="preserve">If a critical customer declares an operating emergency at its facility, SoCalGas may disregard the normal curtailment pattern to provide service to this customer.  The utility may impose subsequent out-of-pattern curtailment on this customer to balance the amount of curtailment with other customers at the same level on the curtailment order.  </w:t>
      </w:r>
    </w:p>
    <w:p>
      <w:pPr>
        <w:pStyle w:val="BodyText"/>
        <w:rPr/>
      </w:pPr>
      <w:r>
        <w:rPr/>
        <w:t>When SoCalGas decide to stop curtailment of service, it will restore service in the reverse order that it curtailed it.  But SoCalGas reserves the right to restore firm intrastate service in such order as it deems necessary irrespective of the curtailment rotation list it established.</w:t>
      </w:r>
    </w:p>
    <w:p>
      <w:pPr>
        <w:pStyle w:val="BodyText"/>
        <w:jc w:val="center"/>
        <w:rPr>
          <w:u w:val="single"/>
        </w:rPr>
      </w:pPr>
      <w:r>
        <w:rPr>
          <w:u w:val="single"/>
        </w:rPr>
      </w:r>
    </w:p>
    <w:p>
      <w:pPr>
        <w:pStyle w:val="BodyText"/>
        <w:numPr>
          <w:ilvl w:val="0"/>
          <w:numId w:val="0"/>
        </w:numPr>
        <w:outlineLvl w:val="0"/>
        <w:rPr>
          <w:u w:val="single"/>
        </w:rPr>
      </w:pPr>
      <w:r>
        <w:rPr>
          <w:u w:val="single"/>
        </w:rPr>
        <w:t>Diversion</w:t>
      </w:r>
    </w:p>
    <w:p>
      <w:pPr>
        <w:pStyle w:val="BodyText"/>
        <w:numPr>
          <w:ilvl w:val="0"/>
          <w:numId w:val="0"/>
        </w:numPr>
        <w:outlineLvl w:val="0"/>
        <w:rPr/>
      </w:pPr>
      <w:r>
        <w:rPr/>
        <w:t>If SoCalGas has to divert customer owned gas it will do so in this order:</w:t>
      </w:r>
    </w:p>
    <w:p>
      <w:pPr>
        <w:pStyle w:val="BodyText"/>
        <w:rPr/>
      </w:pPr>
      <w:r>
        <w:rPr/>
        <w:t>1)</w:t>
        <w:tab/>
        <w:t>Voluntary diversion agreements</w:t>
      </w:r>
    </w:p>
    <w:p>
      <w:pPr>
        <w:pStyle w:val="BodyText"/>
        <w:rPr/>
      </w:pPr>
      <w:r>
        <w:rPr/>
        <w:t>2)</w:t>
        <w:tab/>
        <w:t>Voluntary core protection purchase agreements</w:t>
      </w:r>
    </w:p>
    <w:p>
      <w:pPr>
        <w:pStyle w:val="BodyText"/>
        <w:numPr>
          <w:ilvl w:val="0"/>
          <w:numId w:val="16"/>
        </w:numPr>
        <w:rPr/>
      </w:pPr>
      <w:r>
        <w:rPr/>
        <w:t>Involuntary diversions</w:t>
      </w:r>
    </w:p>
    <w:p>
      <w:pPr>
        <w:pStyle w:val="BodyText"/>
        <w:ind w:start="360" w:end="0"/>
        <w:rPr/>
      </w:pPr>
      <w:r>
        <w:rPr/>
      </w:r>
    </w:p>
    <w:p>
      <w:pPr>
        <w:pStyle w:val="BodyText"/>
        <w:rPr/>
      </w:pPr>
      <w:r>
        <w:rPr/>
        <w:t>If there is a threatened or actual shortage creating an emergency condition for Priority 1 and 2A customers, the Utility may curtail or divert service of all customers.  SoCalGas has the right to shut off, discontinue, re-establish, or continue service for all customers or a portion of such customers, irrespective of the priority or preference provisions set forth in its tariff, or contracts.  In such emergency situations, curtailments shall be generally made on a customer’s level of demand and transfers of curtailment responsibility shall not be allowed.</w:t>
      </w:r>
    </w:p>
    <w:p>
      <w:pPr>
        <w:pStyle w:val="BodyText"/>
        <w:rPr/>
      </w:pPr>
      <w:r>
        <w:rPr/>
      </w:r>
    </w:p>
    <w:p>
      <w:pPr>
        <w:pStyle w:val="BodyText"/>
        <w:rPr/>
      </w:pPr>
      <w:r>
        <w:rPr/>
        <w:t xml:space="preserve">In the case of a shortage at an electric generating plant, SoCalGas will provide gas to the plant, subject to the capability of its existing physical facilities and the requirements of higher priority customers.  SoCalGas will reallocate deliveries for use in electric generating plants deviating from the normal pattern of deliveries by the utility: </w:t>
      </w:r>
    </w:p>
    <w:p>
      <w:pPr>
        <w:pStyle w:val="BodyText"/>
        <w:rPr/>
      </w:pPr>
      <w:r>
        <w:rPr/>
        <w:t xml:space="preserve">a) </w:t>
        <w:tab/>
        <w:t xml:space="preserve">Of an emergency nature to avoid actual electric load curtailment, and/or </w:t>
      </w:r>
    </w:p>
    <w:p>
      <w:pPr>
        <w:pStyle w:val="BodyText"/>
        <w:ind w:hanging="720" w:start="2160" w:end="0"/>
        <w:rPr/>
      </w:pPr>
      <w:r>
        <w:rPr/>
        <w:t xml:space="preserve">b) </w:t>
        <w:tab/>
        <w:t>Based on requirements to minimize particularly adverse air pollution impacts expected to be of short duration.</w:t>
      </w:r>
    </w:p>
    <w:p>
      <w:pPr>
        <w:pStyle w:val="BodyText"/>
        <w:rPr/>
      </w:pPr>
      <w:r>
        <w:rPr/>
      </w:r>
    </w:p>
    <w:p>
      <w:pPr>
        <w:pStyle w:val="BodyText"/>
        <w:rPr/>
      </w:pPr>
      <w:r>
        <w:rPr/>
        <w:t>In order to assess possible penalties the Utility shall read the meter of the curtailed customer at the beginning and end of each curtailment period.  Other than a customer operating emergency as declared by a customer, customers who fail to curtail on request will be assessed a penalty of $1.00 per therm for the initial 5 hours of the Customer’s operating day, $3.00 per therm for hours 6-8, and $10.00 per therm for hours 9 through the end of the curtailment period.  All other charges associated with such usage will apply.  Any customer failing to curtail after 48 hours will be immediately reassigned to a core rate schedule for a minimum period of one year.</w:t>
      </w:r>
    </w:p>
    <w:p>
      <w:pPr>
        <w:pStyle w:val="BodyText"/>
        <w:rPr/>
      </w:pPr>
      <w:r>
        <w:rPr/>
        <w:t xml:space="preserve">Service interruption credits for firm intrastate transmission service are not available when the curtailment is the result of either </w:t>
      </w:r>
      <w:r>
        <w:rPr>
          <w:i/>
        </w:rPr>
        <w:t>force majeure</w:t>
      </w:r>
      <w:r>
        <w:rPr/>
        <w:t xml:space="preserve"> or scheduled maintenance or a curtailment of Standby Procurement service.  </w:t>
      </w:r>
    </w:p>
    <w:p>
      <w:pPr>
        <w:pStyle w:val="BodyText"/>
        <w:rPr/>
      </w:pPr>
      <w:r>
        <w:rPr/>
      </w:r>
    </w:p>
    <w:p>
      <w:pPr>
        <w:pStyle w:val="BodyText"/>
        <w:numPr>
          <w:ilvl w:val="0"/>
          <w:numId w:val="0"/>
        </w:numPr>
        <w:outlineLvl w:val="0"/>
        <w:rPr>
          <w:u w:val="single"/>
        </w:rPr>
      </w:pPr>
      <w:r>
        <w:rPr>
          <w:u w:val="single"/>
        </w:rPr>
        <w:t>Compensation</w:t>
      </w:r>
    </w:p>
    <w:p>
      <w:pPr>
        <w:pStyle w:val="BodyText"/>
        <w:rPr/>
      </w:pPr>
      <w:r>
        <w:rPr/>
        <w:t>SoCalGas compensates for diverted gas as follows: If a firm intrastate transmission customer experiences more than one qualifying interruption during a ten-year period beginning on the implementation date of the CPUC’s Capacity Brokering Rules, the Utility shall provide such customer with a Service Interruption Credit (“SIC”) of $ 0.25 per therm of gas curtailed or diverted.</w:t>
      </w:r>
    </w:p>
    <w:p>
      <w:pPr>
        <w:pStyle w:val="BodyText"/>
        <w:rPr/>
      </w:pPr>
      <w:r>
        <w:rPr/>
      </w:r>
    </w:p>
    <w:p>
      <w:pPr>
        <w:pStyle w:val="BodyText"/>
        <w:rPr/>
      </w:pPr>
      <w:r>
        <w:rPr/>
        <w:t xml:space="preserve">For the customer’s first qualifying interruption during the ten-year period, the SIC shall only apply to the volume of curtailed or diverted gas over and above 72 consecutive hours of full curtailment or the volumetric equivalent thereof during a five day period.  For subsequent qualifying interruptions during this period, the SIC shall apply to all of the customer’s curtailed or diverted volumes resulting from the subsequent interruptions regardless of the duration or extend of the customer’s initial interruption.  </w:t>
      </w:r>
    </w:p>
    <w:p>
      <w:pPr>
        <w:pStyle w:val="BodyText"/>
        <w:rPr/>
      </w:pPr>
      <w:r>
        <w:rPr/>
      </w:r>
    </w:p>
    <w:p>
      <w:pPr>
        <w:pStyle w:val="BodyText"/>
        <w:rPr/>
      </w:pPr>
      <w:r>
        <w:rPr/>
        <w:t>The maximum aggregate SIC obligation of the Utility in any calendar year shall be $5 million.  To the extent such maximum aggregate obligation would be exceeded, the Utility shall provide the SIC on a pro rata basis to all applicable customers for the calendar year. Under an involuntarily diversion of gas, the utility will pay the customer the higher of</w:t>
      </w:r>
    </w:p>
    <w:p>
      <w:pPr>
        <w:pStyle w:val="BodyText"/>
        <w:ind w:hanging="720" w:start="2160" w:end="0"/>
        <w:rPr/>
      </w:pPr>
      <w:r>
        <w:rPr/>
        <w:t xml:space="preserve">1) </w:t>
        <w:tab/>
        <w:t>The cost of alternative fuel or replacement energy used by the customer during the diversion, plus associated transportation costs actually incurred by the customer; or</w:t>
      </w:r>
    </w:p>
    <w:p>
      <w:pPr>
        <w:pStyle w:val="BodyText"/>
        <w:ind w:hanging="720" w:start="2160" w:end="0"/>
        <w:rPr/>
      </w:pPr>
      <w:r>
        <w:rPr/>
        <w:t xml:space="preserve">2) </w:t>
        <w:tab/>
        <w:t>150% of the utility’s WACOG for the month the curtailment occurred; or</w:t>
      </w:r>
    </w:p>
    <w:p>
      <w:pPr>
        <w:pStyle w:val="BodyText"/>
        <w:ind w:firstLine="720" w:start="720" w:end="0"/>
        <w:rPr/>
      </w:pPr>
      <w:r>
        <w:rPr/>
        <w:t xml:space="preserve">3) </w:t>
        <w:tab/>
        <w:t>The customer’s actual cost of gas.</w:t>
      </w:r>
      <w:r>
        <w:br w:type="page"/>
      </w:r>
    </w:p>
    <w:p>
      <w:pPr>
        <w:pStyle w:val="BodyText"/>
        <w:rPr>
          <w:b/>
        </w:rPr>
      </w:pPr>
      <w:r>
        <w:rPr>
          <w:b/>
        </w:rPr>
        <w:t>SDGE</w:t>
      </w:r>
    </w:p>
    <w:p>
      <w:pPr>
        <w:pStyle w:val="BodyText"/>
        <w:numPr>
          <w:ilvl w:val="0"/>
          <w:numId w:val="0"/>
        </w:numPr>
        <w:outlineLvl w:val="0"/>
        <w:rPr>
          <w:b/>
          <w:u w:val="single"/>
        </w:rPr>
      </w:pPr>
      <w:r>
        <w:rPr>
          <w:b/>
          <w:u w:val="single"/>
        </w:rPr>
      </w:r>
    </w:p>
    <w:p>
      <w:pPr>
        <w:pStyle w:val="BodyText"/>
        <w:numPr>
          <w:ilvl w:val="0"/>
          <w:numId w:val="0"/>
        </w:numPr>
        <w:outlineLvl w:val="0"/>
        <w:rPr>
          <w:bCs/>
        </w:rPr>
      </w:pPr>
      <w:r>
        <w:rPr>
          <w:bCs/>
        </w:rPr>
        <w:t>Curtailment and Diversion Procedures:</w:t>
      </w:r>
    </w:p>
    <w:p>
      <w:pPr>
        <w:pStyle w:val="BodyText"/>
        <w:numPr>
          <w:ilvl w:val="0"/>
          <w:numId w:val="0"/>
        </w:numPr>
        <w:outlineLvl w:val="0"/>
        <w:rPr>
          <w:b/>
          <w:bCs/>
          <w:u w:val="single"/>
        </w:rPr>
      </w:pPr>
      <w:r>
        <w:rPr>
          <w:b/>
          <w:bCs/>
          <w:u w:val="single"/>
        </w:rPr>
      </w:r>
    </w:p>
    <w:p>
      <w:pPr>
        <w:pStyle w:val="BodyText"/>
        <w:rPr/>
      </w:pPr>
      <w:r>
        <w:rPr/>
        <w:t xml:space="preserve">SDGE lays out its curtailment procedures in Rule 14 of its tariff Noncore customers, who fail to curtail when ordered by the utility, will be subject to a significant curtailment penalties for each therm consumed during the curtailment period, in addition to the charges under the customer’s applicable rate schedule.  </w:t>
      </w:r>
    </w:p>
    <w:p>
      <w:pPr>
        <w:pStyle w:val="BodyText"/>
        <w:rPr/>
      </w:pPr>
      <w:r>
        <w:rPr/>
      </w:r>
    </w:p>
    <w:p>
      <w:pPr>
        <w:pStyle w:val="BodyText"/>
        <w:rPr/>
      </w:pPr>
      <w:r>
        <w:rPr/>
        <w:t>In the event that there is insufficient supply or capacity to serve P-1 and P-2A customers, the utility may divert customer-owned gas from noncore customers. Under a voluntary diversion of gas, compensation will not exceed the price paid for the involuntarily diverted gas supplies. Under an involuntarily diversion of gas, the utility will pay the customer for volumes involuntarily diverted the higher of</w:t>
      </w:r>
    </w:p>
    <w:p>
      <w:pPr>
        <w:pStyle w:val="BodyText"/>
        <w:ind w:hanging="720" w:start="2160" w:end="0"/>
        <w:rPr/>
      </w:pPr>
      <w:r>
        <w:rPr/>
        <w:t xml:space="preserve">1) </w:t>
        <w:tab/>
        <w:t>The cost of alternative fuel or replacement energy used by the customer during the diversion, plus associated transportation costs actually incurred by the customer; or</w:t>
      </w:r>
    </w:p>
    <w:p>
      <w:pPr>
        <w:pStyle w:val="BodyText"/>
        <w:ind w:hanging="720" w:start="2160" w:end="0"/>
        <w:rPr/>
      </w:pPr>
      <w:r>
        <w:rPr/>
        <w:t xml:space="preserve">2) </w:t>
        <w:tab/>
        <w:t>150% of the utility’s WACOG for the month the curtailment occurred; or</w:t>
      </w:r>
    </w:p>
    <w:p>
      <w:pPr>
        <w:pStyle w:val="BodyText"/>
        <w:ind w:firstLine="720" w:start="720" w:end="0"/>
        <w:rPr/>
      </w:pPr>
      <w:r>
        <w:rPr/>
        <w:t xml:space="preserve">3) </w:t>
        <w:tab/>
        <w:t>The customer’s actual cost of gas.</w:t>
      </w:r>
    </w:p>
    <w:p>
      <w:pPr>
        <w:pStyle w:val="BodyText"/>
        <w:rPr/>
      </w:pPr>
      <w:r>
        <w:rPr/>
      </w:r>
    </w:p>
    <w:p>
      <w:pPr>
        <w:pStyle w:val="BodyText"/>
        <w:numPr>
          <w:ilvl w:val="0"/>
          <w:numId w:val="0"/>
        </w:numPr>
        <w:outlineLvl w:val="0"/>
        <w:rPr>
          <w:u w:val="single"/>
        </w:rPr>
      </w:pPr>
      <w:r>
        <w:rPr>
          <w:u w:val="single"/>
        </w:rPr>
        <w:t>Curtailment</w:t>
      </w:r>
    </w:p>
    <w:p>
      <w:pPr>
        <w:pStyle w:val="BodyText"/>
        <w:numPr>
          <w:ilvl w:val="0"/>
          <w:numId w:val="0"/>
        </w:numPr>
        <w:outlineLvl w:val="0"/>
        <w:rPr/>
      </w:pPr>
      <w:r>
        <w:rPr/>
        <w:t>SDGE will curtail gas in the following sequence:</w:t>
      </w:r>
    </w:p>
    <w:p>
      <w:pPr>
        <w:pStyle w:val="BodyText"/>
        <w:ind w:hanging="720" w:start="2160" w:end="0"/>
        <w:rPr/>
      </w:pPr>
      <w:r>
        <w:rPr/>
        <w:t>1)</w:t>
        <w:tab/>
      </w:r>
      <w:r>
        <w:rPr>
          <w:u w:val="single"/>
        </w:rPr>
        <w:t>Interruptible Noncore Service</w:t>
      </w:r>
      <w:r>
        <w:rPr/>
        <w:t xml:space="preserve"> (Interruptible Intrastate Transportation Service/Minimum One-month contract/Optional Utility Gas Purchases/ No Use or Pay Obligations or Penalties)</w:t>
      </w:r>
    </w:p>
    <w:p>
      <w:pPr>
        <w:pStyle w:val="BodyText"/>
        <w:ind w:hanging="720" w:start="2160" w:end="0"/>
        <w:rPr/>
      </w:pPr>
      <w:r>
        <w:rPr/>
      </w:r>
    </w:p>
    <w:p>
      <w:pPr>
        <w:pStyle w:val="BodyText"/>
        <w:ind w:hanging="720" w:start="2160" w:end="0"/>
        <w:rPr/>
      </w:pPr>
      <w:r>
        <w:rPr/>
        <w:t>2)</w:t>
        <w:tab/>
      </w:r>
      <w:r>
        <w:rPr>
          <w:u w:val="single"/>
        </w:rPr>
        <w:t>Firm Noncore Service</w:t>
      </w:r>
      <w:r>
        <w:rPr/>
        <w:t xml:space="preserve"> (Firm Intrastate Transportation Service/Two-year contract term/Optional Utility Gas Purchases/ Use-or pay-Obligations &amp; Penalties)</w:t>
      </w:r>
    </w:p>
    <w:p>
      <w:pPr>
        <w:pStyle w:val="BodyText"/>
        <w:ind w:hanging="720" w:start="2160" w:end="0"/>
        <w:rPr/>
      </w:pPr>
      <w:r>
        <w:rPr/>
      </w:r>
    </w:p>
    <w:p>
      <w:pPr>
        <w:pStyle w:val="BodyText"/>
        <w:ind w:hanging="720" w:start="2160" w:end="0"/>
        <w:rPr/>
      </w:pPr>
      <w:r>
        <w:rPr/>
        <w:t>3)</w:t>
        <w:tab/>
      </w:r>
      <w:r>
        <w:rPr>
          <w:u w:val="single"/>
        </w:rPr>
        <w:t>Core Subscription Service</w:t>
      </w:r>
      <w:r>
        <w:rPr/>
        <w:t xml:space="preserve"> (Firm Inter &amp; Intrastate Transportation Service/ Gas purchased from the utility (minimum one-year term)/ Two-year transport Contract term.</w:t>
      </w:r>
    </w:p>
    <w:p>
      <w:pPr>
        <w:pStyle w:val="BodyText"/>
        <w:ind w:hanging="720" w:start="2160" w:end="0"/>
        <w:rPr/>
      </w:pPr>
      <w:r>
        <w:rPr/>
      </w:r>
    </w:p>
    <w:p>
      <w:pPr>
        <w:pStyle w:val="BodyText"/>
        <w:ind w:hanging="720" w:start="2160" w:end="0"/>
        <w:rPr/>
      </w:pPr>
      <w:r>
        <w:rPr/>
        <w:t>4)</w:t>
        <w:tab/>
      </w:r>
      <w:r>
        <w:rPr>
          <w:u w:val="single"/>
        </w:rPr>
        <w:t>Core Service</w:t>
      </w:r>
      <w:r>
        <w:rPr/>
        <w:t xml:space="preserve"> (Firm Inter &amp; Intrastate Transportation Service/ Gas Purchased from Utility/Optional Intrastate Transportation-Only Service/Curtailment based on end-use priorities/ Includes all P-1 and P-2 end-use priorities) P-1 is all residential users regardless of size.  And all non-residential use through a single meter that is equal to or less than 20,800 therms.  P-2A is all non-residential use through a single meter that is greater than an annual monthly average of 20,800 therms, where the customer has made a minimum two-year election to receive core reliability service.</w:t>
      </w:r>
    </w:p>
    <w:p>
      <w:pPr>
        <w:pStyle w:val="BodyText"/>
        <w:ind w:hanging="720" w:start="2160" w:end="0"/>
        <w:rPr/>
      </w:pPr>
      <w:r>
        <w:rPr/>
      </w:r>
    </w:p>
    <w:p>
      <w:pPr>
        <w:pStyle w:val="BodyText"/>
        <w:rPr/>
      </w:pPr>
      <w:r>
        <w:rPr/>
        <w:t>SDGE’s penalties are as follows.  Noncore customers, who fail to curtail when ordered by the utility, will be subject to a curtailment penalty for each therm consumed including pilot light gas, during the curtailment period, in addition to the charges under the customer’s applicable rate schedule.  The curtailment penalty shall consists of the following charges:</w:t>
      </w:r>
    </w:p>
    <w:p>
      <w:pPr>
        <w:pStyle w:val="BodyText"/>
        <w:ind w:start="2160" w:end="0"/>
        <w:rPr/>
      </w:pPr>
      <w:r>
        <w:rPr/>
      </w:r>
    </w:p>
    <w:p>
      <w:pPr>
        <w:pStyle w:val="BodyText"/>
        <w:ind w:start="2160" w:end="0"/>
        <w:rPr/>
      </w:pPr>
      <w:r>
        <w:rPr/>
        <w:t>1.</w:t>
        <w:tab/>
        <w:t>$1 per therm for the first five hours,</w:t>
      </w:r>
    </w:p>
    <w:p>
      <w:pPr>
        <w:pStyle w:val="BodyText"/>
        <w:ind w:start="2160" w:end="0"/>
        <w:rPr/>
      </w:pPr>
      <w:r>
        <w:rPr/>
        <w:t>2.</w:t>
        <w:tab/>
        <w:t>$3 per therm of the next three hours,</w:t>
      </w:r>
    </w:p>
    <w:p>
      <w:pPr>
        <w:pStyle w:val="BodyText"/>
        <w:ind w:hanging="720" w:start="2160" w:end="0"/>
        <w:rPr/>
      </w:pPr>
      <w:r>
        <w:rPr/>
        <w:tab/>
        <w:t>3.</w:t>
        <w:tab/>
        <w:t>$10 per therm for the remaining curtailment period.</w:t>
      </w:r>
    </w:p>
    <w:p>
      <w:pPr>
        <w:pStyle w:val="BodyText"/>
        <w:ind w:hanging="720" w:start="2160" w:end="0"/>
        <w:rPr/>
      </w:pPr>
      <w:r>
        <w:rPr/>
      </w:r>
    </w:p>
    <w:p>
      <w:pPr>
        <w:pStyle w:val="BodyText"/>
        <w:tabs>
          <w:tab w:val="clear" w:pos="720"/>
          <w:tab w:val="left" w:pos="0" w:leader="none"/>
        </w:tabs>
        <w:rPr/>
      </w:pPr>
      <w:r>
        <w:rPr/>
        <w:t>Any noncore customer failing to curtail gas use, excluding pilot light gas, after 48 hours shall be immediately reassigned to a core rate schedule for a minimum of one year.</w:t>
      </w:r>
    </w:p>
    <w:p>
      <w:pPr>
        <w:pStyle w:val="BodyText"/>
        <w:ind w:hanging="720" w:start="2160" w:end="0"/>
        <w:rPr/>
      </w:pPr>
      <w:r>
        <w:rPr/>
      </w:r>
    </w:p>
    <w:p>
      <w:pPr>
        <w:pStyle w:val="BodyText"/>
        <w:numPr>
          <w:ilvl w:val="0"/>
          <w:numId w:val="0"/>
        </w:numPr>
        <w:outlineLvl w:val="0"/>
        <w:rPr>
          <w:u w:val="single"/>
        </w:rPr>
      </w:pPr>
      <w:r>
        <w:rPr>
          <w:u w:val="single"/>
        </w:rPr>
        <w:t>Diversion</w:t>
      </w:r>
    </w:p>
    <w:p>
      <w:pPr>
        <w:pStyle w:val="BodyText"/>
        <w:rPr/>
      </w:pPr>
      <w:r>
        <w:rPr/>
        <w:t xml:space="preserve">In the event that there is insufficient supply or capacity to serve P-1 and P-2A customers, the utility may divert customer-owned gas from noncore customers.  The diversion of customer-owned gas to serve core customers may either be voluntary or involuntary.  Voluntary diversions of gas shall be performed before any involuntary diversions to protect core customers.  The utility shall notify the Commission within one business day following the initiation of any involuntary diversion.  </w:t>
      </w:r>
    </w:p>
    <w:p>
      <w:pPr>
        <w:pStyle w:val="BodyText"/>
        <w:rPr/>
      </w:pPr>
      <w:r>
        <w:rPr/>
      </w:r>
    </w:p>
    <w:p>
      <w:pPr>
        <w:pStyle w:val="BodyText"/>
        <w:numPr>
          <w:ilvl w:val="0"/>
          <w:numId w:val="0"/>
        </w:numPr>
        <w:outlineLvl w:val="0"/>
        <w:rPr>
          <w:u w:val="single"/>
        </w:rPr>
      </w:pPr>
      <w:r>
        <w:rPr>
          <w:u w:val="single"/>
        </w:rPr>
        <w:t>Compensation</w:t>
      </w:r>
    </w:p>
    <w:p>
      <w:pPr>
        <w:pStyle w:val="BodyText"/>
        <w:rPr/>
      </w:pPr>
      <w:r>
        <w:rPr/>
        <w:t>SDGE compensates as follows for voluntarily diverted gas.  SDGE may offer to purchase the flowing supplies of noncore shippers to maintain service to higher priority core and noncore customers.  The price paid by the utility for voluntarily diverted interruptible supplies shall not exceed the price paid for the involuntarily diverted gas supplies.  Gas that is made available to the utility through voluntary core protection arrangements shall be purchased on a least-cost basis with the least expensive supplies being purchased first, to the extent operationally feasible.  The price paid by the utility for voluntary core protection gas shall be determined through negotiation with the customer, subject to a price ceiling of 150% of the utility’s monthly weighted average cost of gas.</w:t>
      </w:r>
    </w:p>
    <w:p>
      <w:pPr>
        <w:pStyle w:val="BodyText"/>
        <w:rPr/>
      </w:pPr>
      <w:r>
        <w:rPr/>
        <w:t>SDGE compensation for customer-owned gas is as follows; For an involuntarily diversion of gas, the utility may divert either interruptible or firm customer-owned gas to serve core customers.  The utility will pay the customer for volumes involuntarily diverted the higher of:</w:t>
      </w:r>
    </w:p>
    <w:p>
      <w:pPr>
        <w:pStyle w:val="BodyText"/>
        <w:rPr/>
      </w:pPr>
      <w:r>
        <w:rPr/>
      </w:r>
    </w:p>
    <w:p>
      <w:pPr>
        <w:pStyle w:val="BodyText"/>
        <w:ind w:hanging="720" w:start="2160" w:end="0"/>
        <w:rPr/>
      </w:pPr>
      <w:r>
        <w:rPr/>
        <w:t xml:space="preserve">1) </w:t>
        <w:tab/>
        <w:t>The cost of alternative fuel or replacement energy used by the customer during the diversion, plus associated transportation costs actually incurred by the customer; or</w:t>
      </w:r>
    </w:p>
    <w:p>
      <w:pPr>
        <w:pStyle w:val="BodyText"/>
        <w:ind w:start="1440" w:end="0"/>
        <w:rPr/>
      </w:pPr>
      <w:r>
        <w:rPr/>
        <w:t xml:space="preserve">2) </w:t>
        <w:tab/>
        <w:t>150% of the utility’s WACOG for the month the curtailment occurred; or</w:t>
      </w:r>
    </w:p>
    <w:p>
      <w:pPr>
        <w:pStyle w:val="BodyText"/>
        <w:numPr>
          <w:ilvl w:val="0"/>
          <w:numId w:val="10"/>
        </w:numPr>
        <w:rPr/>
      </w:pPr>
      <w:r>
        <w:rPr/>
        <w:t>The customer’s actual cost of gas.</w:t>
      </w:r>
      <w:r>
        <w:br w:type="page"/>
      </w:r>
    </w:p>
    <w:p>
      <w:pPr>
        <w:pStyle w:val="BodyText"/>
        <w:rPr>
          <w:b/>
          <w:bCs/>
          <w:u w:val="single"/>
        </w:rPr>
      </w:pPr>
      <w:r>
        <w:rPr>
          <w:b/>
          <w:bCs/>
          <w:u w:val="single"/>
        </w:rPr>
        <w:t>LDCs IN CHICAGO MARKETS</w:t>
      </w:r>
    </w:p>
    <w:p>
      <w:pPr>
        <w:pStyle w:val="BodyText"/>
        <w:rPr>
          <w:b/>
          <w:bCs/>
          <w:u w:val="single"/>
        </w:rPr>
      </w:pPr>
      <w:r>
        <w:rPr>
          <w:b/>
          <w:bCs/>
          <w:u w:val="single"/>
        </w:rPr>
      </w:r>
    </w:p>
    <w:p>
      <w:pPr>
        <w:pStyle w:val="BodyText"/>
        <w:rPr>
          <w:b/>
          <w:bCs/>
        </w:rPr>
      </w:pPr>
      <w:r>
        <w:rPr>
          <w:b/>
          <w:bCs/>
        </w:rPr>
        <w:t xml:space="preserve">NICOR </w:t>
      </w:r>
    </w:p>
    <w:p>
      <w:pPr>
        <w:pStyle w:val="Normal"/>
        <w:rPr>
          <w:b/>
          <w:bCs/>
        </w:rPr>
      </w:pPr>
      <w:r>
        <w:rPr>
          <w:b/>
          <w:bCs/>
        </w:rPr>
      </w:r>
    </w:p>
    <w:p>
      <w:pPr>
        <w:pStyle w:val="Normal"/>
        <w:jc w:val="both"/>
        <w:rPr/>
      </w:pPr>
      <w:r>
        <w:rPr/>
        <w:t>Limitations on rendering gas service:  If there is a gas shortage or interruption of supply for any reason, Company shall have the right to:</w:t>
      </w:r>
    </w:p>
    <w:p>
      <w:pPr>
        <w:pStyle w:val="Normal"/>
        <w:jc w:val="both"/>
        <w:rPr/>
      </w:pPr>
      <w:r>
        <w:rPr/>
      </w:r>
    </w:p>
    <w:p>
      <w:pPr>
        <w:pStyle w:val="Normal"/>
        <w:numPr>
          <w:ilvl w:val="0"/>
          <w:numId w:val="9"/>
        </w:numPr>
        <w:jc w:val="both"/>
        <w:rPr/>
      </w:pPr>
      <w:r>
        <w:rPr/>
        <w:t>Curtail deliveries of gas to any commercial or industrial customer, as necesary to maintain deliveries to residential and small commercial customers;</w:t>
      </w:r>
    </w:p>
    <w:p>
      <w:pPr>
        <w:pStyle w:val="Normal"/>
        <w:numPr>
          <w:ilvl w:val="0"/>
          <w:numId w:val="9"/>
        </w:numPr>
        <w:jc w:val="both"/>
        <w:rPr/>
      </w:pPr>
      <w:r>
        <w:rPr/>
        <w:t>Allocate available gas supply among some or all remaining customers</w:t>
      </w:r>
    </w:p>
    <w:p>
      <w:pPr>
        <w:pStyle w:val="Normal"/>
        <w:jc w:val="both"/>
        <w:rPr/>
      </w:pPr>
      <w:r>
        <w:rPr/>
      </w:r>
    </w:p>
    <w:p>
      <w:pPr>
        <w:pStyle w:val="Normal"/>
        <w:jc w:val="both"/>
        <w:rPr/>
      </w:pPr>
      <w:r>
        <w:rPr/>
        <w:t>Curtailment or allocation shall be done first to customers who use large quantities of gas and are not engaged in an activity essential to health or safety, and where gas delivered can be conveniently and readily used to reduce deficiencies to other customers.  Company not liable for damages.</w:t>
      </w:r>
    </w:p>
    <w:p>
      <w:pPr>
        <w:pStyle w:val="Normal"/>
        <w:jc w:val="both"/>
        <w:rPr/>
      </w:pPr>
      <w:r>
        <w:rPr/>
      </w:r>
    </w:p>
    <w:p>
      <w:pPr>
        <w:pStyle w:val="Normal"/>
        <w:jc w:val="both"/>
        <w:rPr/>
      </w:pPr>
      <w:r>
        <w:rPr/>
        <w:t>Company can call a Critical Day when one of 5 criteria exists:</w:t>
      </w:r>
    </w:p>
    <w:p>
      <w:pPr>
        <w:pStyle w:val="Normal"/>
        <w:jc w:val="both"/>
        <w:rPr/>
      </w:pPr>
      <w:r>
        <w:rPr/>
      </w:r>
    </w:p>
    <w:p>
      <w:pPr>
        <w:pStyle w:val="Normal"/>
        <w:numPr>
          <w:ilvl w:val="0"/>
          <w:numId w:val="18"/>
        </w:numPr>
        <w:jc w:val="both"/>
        <w:rPr/>
      </w:pPr>
      <w:r>
        <w:rPr/>
        <w:t>when company experiences failure of transmission, distribution, gas storage or gas manufacturing facilities;</w:t>
      </w:r>
    </w:p>
    <w:p>
      <w:pPr>
        <w:pStyle w:val="Normal"/>
        <w:numPr>
          <w:ilvl w:val="0"/>
          <w:numId w:val="18"/>
        </w:numPr>
        <w:jc w:val="both"/>
        <w:rPr/>
      </w:pPr>
      <w:r>
        <w:rPr/>
        <w:t>when transmission system pressures or other unusual conditions jeopardize operation of system;</w:t>
      </w:r>
    </w:p>
    <w:p>
      <w:pPr>
        <w:pStyle w:val="Normal"/>
        <w:numPr>
          <w:ilvl w:val="0"/>
          <w:numId w:val="18"/>
        </w:numPr>
        <w:jc w:val="both"/>
        <w:rPr/>
      </w:pPr>
      <w:r>
        <w:rPr/>
        <w:t>when company’s transmission, storage and supplies are being used at or near maximum rated deliverability;</w:t>
      </w:r>
    </w:p>
    <w:p>
      <w:pPr>
        <w:pStyle w:val="Normal"/>
        <w:numPr>
          <w:ilvl w:val="0"/>
          <w:numId w:val="18"/>
        </w:numPr>
        <w:jc w:val="both"/>
        <w:rPr/>
      </w:pPr>
      <w:r>
        <w:rPr/>
        <w:t>when any of company’s transporters or suppliers call the equivalent of a critical day;</w:t>
      </w:r>
    </w:p>
    <w:p>
      <w:pPr>
        <w:pStyle w:val="Normal"/>
        <w:numPr>
          <w:ilvl w:val="0"/>
          <w:numId w:val="18"/>
        </w:numPr>
        <w:jc w:val="both"/>
        <w:rPr/>
      </w:pPr>
      <w:r>
        <w:rPr/>
        <w:t>when company is unable to fulfill its firm contractual obligations or otherwise necessary to maintain overall operational integrity of all or a portion of system.</w:t>
      </w:r>
    </w:p>
    <w:p>
      <w:pPr>
        <w:pStyle w:val="Normal"/>
        <w:jc w:val="both"/>
        <w:rPr/>
      </w:pPr>
      <w:r>
        <w:rPr/>
      </w:r>
    </w:p>
    <w:p>
      <w:pPr>
        <w:pStyle w:val="Normal"/>
        <w:jc w:val="both"/>
        <w:rPr/>
      </w:pPr>
      <w:r>
        <w:rPr/>
        <w:t>Critical day shall be declared by 8:00 am of day prior.  Priority of Supplies:  When deliveries of gas at a receipt point would interfere with company stored gas or exceed take-away capacity, supplies will be accepted in this order:  firm pipeline capacity with company designated as primary delivery point, firm pipeline capacity with company designated as secondary delivery point, interruptible transportation and authorized excess transportation.  Proration will apply in a category if necessary.  Order of Deliveries:  Requested authorized use, deliveries of customer-owned gas to company from an interstate pipeline, customer-owned gas withdrawn from storage, company-supplied gas under firm backup service, authorized use and unauthorized use.</w:t>
      </w:r>
    </w:p>
    <w:p>
      <w:pPr>
        <w:pStyle w:val="Normal"/>
        <w:jc w:val="both"/>
        <w:rPr/>
      </w:pPr>
      <w:r>
        <w:rPr/>
      </w:r>
    </w:p>
    <w:p>
      <w:pPr>
        <w:pStyle w:val="BodyText"/>
        <w:rPr/>
      </w:pPr>
      <w:r>
        <w:rPr/>
      </w:r>
    </w:p>
    <w:p>
      <w:pPr>
        <w:pStyle w:val="BodyText"/>
        <w:rPr>
          <w:b/>
          <w:bCs/>
        </w:rPr>
      </w:pPr>
      <w:r>
        <w:rPr>
          <w:b/>
          <w:bCs/>
        </w:rPr>
        <w:t xml:space="preserve">Northern Illinois Gas Co.  </w:t>
      </w:r>
    </w:p>
    <w:p>
      <w:pPr>
        <w:pStyle w:val="BodyText"/>
        <w:rPr>
          <w:b/>
          <w:bCs/>
        </w:rPr>
      </w:pPr>
      <w:r>
        <w:rPr>
          <w:b/>
          <w:bCs/>
        </w:rPr>
      </w:r>
    </w:p>
    <w:p>
      <w:pPr>
        <w:pStyle w:val="BodyText"/>
        <w:rPr/>
      </w:pPr>
      <w:r>
        <w:rPr/>
        <w:t xml:space="preserve">Limitations on rendering gas service:  In the event of a gas shortage or an interruption in Company’s gas supply for any reason, Company may:  </w:t>
      </w:r>
    </w:p>
    <w:p>
      <w:pPr>
        <w:pStyle w:val="BodyText"/>
        <w:numPr>
          <w:ilvl w:val="0"/>
          <w:numId w:val="23"/>
        </w:numPr>
        <w:rPr/>
      </w:pPr>
      <w:r>
        <w:rPr/>
        <w:t xml:space="preserve">curtail deliveries of gas to any commercial or industrial user (in order to maintain deliveries to residential and small commercial users), </w:t>
      </w:r>
    </w:p>
    <w:p>
      <w:pPr>
        <w:pStyle w:val="BodyText"/>
        <w:numPr>
          <w:ilvl w:val="0"/>
          <w:numId w:val="23"/>
        </w:numPr>
        <w:rPr/>
      </w:pPr>
      <w:r>
        <w:rPr/>
        <w:t xml:space="preserve">or allocate available gas supply among some or all remaining customers.  </w:t>
      </w:r>
    </w:p>
    <w:p>
      <w:pPr>
        <w:pStyle w:val="BodyText"/>
        <w:rPr/>
      </w:pPr>
      <w:r>
        <w:rPr/>
      </w:r>
    </w:p>
    <w:p>
      <w:pPr>
        <w:pStyle w:val="BodyText"/>
        <w:rPr/>
      </w:pPr>
      <w:r>
        <w:rPr/>
        <w:t>Supplies of gas to large users shall be curtailed or allocated first, provided the gas not delivered can be conveniently and readily used by the Company to reduce deficiencies in supply to other customers.  Company shall not be liable for damages.</w:t>
      </w:r>
    </w:p>
    <w:p>
      <w:pPr>
        <w:pStyle w:val="BodyText"/>
        <w:rPr/>
      </w:pPr>
      <w:r>
        <w:rPr/>
      </w:r>
    </w:p>
    <w:p>
      <w:pPr>
        <w:pStyle w:val="BodyText"/>
        <w:rPr/>
      </w:pPr>
      <w:r>
        <w:rPr/>
        <w:t xml:space="preserve">Company may call Critical Day whenever one of five circumstances exist: </w:t>
      </w:r>
    </w:p>
    <w:p>
      <w:pPr>
        <w:pStyle w:val="BodyText"/>
        <w:rPr/>
      </w:pPr>
      <w:r>
        <w:rPr/>
      </w:r>
    </w:p>
    <w:p>
      <w:pPr>
        <w:pStyle w:val="Normal"/>
        <w:numPr>
          <w:ilvl w:val="0"/>
          <w:numId w:val="12"/>
        </w:numPr>
        <w:jc w:val="both"/>
        <w:rPr/>
      </w:pPr>
      <w:r>
        <w:rPr/>
        <w:t>when company experiences failure of transmission, distributuion, gas storage or gas manufacturing facilities;</w:t>
      </w:r>
    </w:p>
    <w:p>
      <w:pPr>
        <w:pStyle w:val="Normal"/>
        <w:numPr>
          <w:ilvl w:val="0"/>
          <w:numId w:val="12"/>
        </w:numPr>
        <w:jc w:val="both"/>
        <w:rPr/>
      </w:pPr>
      <w:r>
        <w:rPr/>
        <w:t>when transmission system pressures or other unusual conditions jeopardize operation of system;</w:t>
      </w:r>
    </w:p>
    <w:p>
      <w:pPr>
        <w:pStyle w:val="Normal"/>
        <w:numPr>
          <w:ilvl w:val="0"/>
          <w:numId w:val="12"/>
        </w:numPr>
        <w:jc w:val="both"/>
        <w:rPr/>
      </w:pPr>
      <w:r>
        <w:rPr/>
        <w:t>when company’s transmission, storage and supplies are being used at or near maximum rated deliverability;</w:t>
      </w:r>
    </w:p>
    <w:p>
      <w:pPr>
        <w:pStyle w:val="Normal"/>
        <w:numPr>
          <w:ilvl w:val="0"/>
          <w:numId w:val="12"/>
        </w:numPr>
        <w:jc w:val="both"/>
        <w:rPr/>
      </w:pPr>
      <w:r>
        <w:rPr/>
        <w:t>when any of company’s transporters or suppliers call the equivalent of a critical day; or</w:t>
      </w:r>
    </w:p>
    <w:p>
      <w:pPr>
        <w:pStyle w:val="BodyText"/>
        <w:ind w:start="360" w:end="0"/>
        <w:rPr/>
      </w:pPr>
      <w:r>
        <w:rPr/>
        <w:t>5. when company is unable to fulfill its firm contractual obligations or otherwise necessary to maintain overall operational integrity of all or a portion of system.</w:t>
      </w:r>
    </w:p>
    <w:p>
      <w:pPr>
        <w:pStyle w:val="BodyText"/>
        <w:rPr>
          <w:b/>
          <w:bCs/>
        </w:rPr>
      </w:pPr>
      <w:r>
        <w:rPr>
          <w:b/>
          <w:bCs/>
        </w:rPr>
      </w:r>
    </w:p>
    <w:p>
      <w:pPr>
        <w:pStyle w:val="BodyText"/>
        <w:rPr/>
      </w:pPr>
      <w:r>
        <w:rPr/>
        <w:t>Period for critical day limited to 11/ through 4/30 and shall be declared by 8:00 am on day prior.  Priority of Supplies:  When deliveries of gas at a receipt point would interfere with company stored gas or exceed take-away capacity, supplies will be accepted in this order:  firm pipeline capacity with company designated as primary delivery point, firm pipeline capacity with company designated as secondary delivery point, interruptible transportation and authorized excess transportation.  Proration will apply in a category if necessary.  Order of Deliveries:  Requested authorized use, deliveries of customer-owned gas to company from an interstate pipeline, customer-owned gas withdrawn from storage, company-supplied gas under firm backup service, authorized use and unauthorized use.</w:t>
      </w:r>
    </w:p>
    <w:p>
      <w:pPr>
        <w:pStyle w:val="BodyText"/>
        <w:rPr/>
      </w:pPr>
      <w:r>
        <w:rPr/>
      </w:r>
    </w:p>
    <w:p>
      <w:pPr>
        <w:pStyle w:val="BodyText"/>
        <w:rPr/>
      </w:pPr>
      <w:r>
        <w:rPr/>
        <w:t xml:space="preserve">Supplies for Critical Days may be contracted for under Storage Banking Service and Firm Backup Service.  </w:t>
      </w:r>
    </w:p>
    <w:p>
      <w:pPr>
        <w:pStyle w:val="BodyText"/>
        <w:rPr/>
      </w:pPr>
      <w:r>
        <w:rPr/>
      </w:r>
    </w:p>
    <w:p>
      <w:pPr>
        <w:pStyle w:val="BodyText"/>
        <w:rPr/>
      </w:pPr>
      <w:r>
        <w:rPr/>
        <w:t xml:space="preserve">Unauthorized Use:  daily unauthorized use on any Critical Day shall be usage in excess of the sum of requested authorized use, volume of customer-owned gas delivered to company less unaccounted for gas, storage withdrawals (limited by SBS), the contracted for quantity of FBS, and authorized use within limitations of SBS.  </w:t>
      </w:r>
    </w:p>
    <w:p>
      <w:pPr>
        <w:pStyle w:val="BodyText"/>
        <w:rPr/>
      </w:pPr>
      <w:r>
        <w:rPr/>
      </w:r>
    </w:p>
    <w:p>
      <w:pPr>
        <w:pStyle w:val="Heading1"/>
        <w:ind w:hanging="0" w:start="0"/>
        <w:rPr/>
      </w:pPr>
      <w:r>
        <w:rPr/>
      </w:r>
    </w:p>
    <w:p>
      <w:pPr>
        <w:pStyle w:val="Heading1"/>
        <w:ind w:hanging="0" w:start="0"/>
        <w:rPr>
          <w:u w:val="single"/>
        </w:rPr>
      </w:pPr>
      <w:r>
        <w:rPr>
          <w:u w:val="single"/>
        </w:rPr>
        <w:t>NIPSCO</w:t>
      </w:r>
    </w:p>
    <w:p>
      <w:pPr>
        <w:pStyle w:val="Normal"/>
        <w:rPr>
          <w:u w:val="single"/>
        </w:rPr>
      </w:pPr>
      <w:r>
        <w:rPr>
          <w:u w:val="single"/>
        </w:rPr>
      </w:r>
    </w:p>
    <w:p>
      <w:pPr>
        <w:pStyle w:val="BodyText"/>
        <w:rPr/>
      </w:pPr>
      <w:r>
        <w:rPr/>
        <w:t>NIPSCO can shut off supplies of service if there is a dangerous condition, upon court order, if there is fraudulent use of gas, utility equipment has been tampered with, violation of rules or regulations applicable to service, for repairs, non-payment of bills or for want of supply or any other lawful reason.  NIPSCO shall not be responsible for damages for failure to supply service or for interruption of supply of gas.</w:t>
      </w:r>
    </w:p>
    <w:p>
      <w:pPr>
        <w:pStyle w:val="Normal"/>
        <w:jc w:val="both"/>
        <w:rPr/>
      </w:pPr>
      <w:r>
        <w:rPr/>
      </w:r>
    </w:p>
    <w:p>
      <w:pPr>
        <w:pStyle w:val="Normal"/>
        <w:jc w:val="both"/>
        <w:rPr/>
      </w:pPr>
      <w:r>
        <w:rPr/>
        <w:t xml:space="preserve">If there is theft or unauthorized use of gas, NIPSCO may hold customer responsible for payment of reasonable costs of service used and also for field calls and cost of effecting repairs necessary due the use.  </w:t>
      </w:r>
    </w:p>
    <w:p>
      <w:pPr>
        <w:pStyle w:val="Normal"/>
        <w:jc w:val="both"/>
        <w:rPr/>
      </w:pPr>
      <w:r>
        <w:rPr/>
      </w:r>
    </w:p>
    <w:p>
      <w:pPr>
        <w:pStyle w:val="Normal"/>
        <w:jc w:val="both"/>
        <w:rPr/>
      </w:pPr>
      <w:r>
        <w:rPr/>
        <w:t>Curtailment, Limitation and Priorities of Service:  When sufficient volumes of gas in NIPSCO’s judgment are not available to meet all reasonably anticipated and existing demands for service or to protect/replenish storage, NIPSCO shall have the right to restrict, limit or curtail gas service.  NIPSCO reserves the right to order gas curtailment without regard to priority of service when required to forestall imminent and irreparable injury to life or property (not because of FERC curtailment orders).   Priority of service is (highest to lowest):</w:t>
      </w:r>
    </w:p>
    <w:p>
      <w:pPr>
        <w:pStyle w:val="Normal"/>
        <w:jc w:val="both"/>
        <w:rPr/>
      </w:pPr>
      <w:r>
        <w:rPr/>
      </w:r>
    </w:p>
    <w:p>
      <w:pPr>
        <w:pStyle w:val="Normal"/>
        <w:numPr>
          <w:ilvl w:val="0"/>
          <w:numId w:val="27"/>
        </w:numPr>
        <w:jc w:val="both"/>
        <w:rPr/>
      </w:pPr>
      <w:r>
        <w:rPr/>
        <w:t>Residential and other firm sales and firm transportation customers averaging not more than 10 Mcf/day and human needs customers</w:t>
      </w:r>
    </w:p>
    <w:p>
      <w:pPr>
        <w:pStyle w:val="Normal"/>
        <w:numPr>
          <w:ilvl w:val="0"/>
          <w:numId w:val="27"/>
        </w:numPr>
        <w:jc w:val="both"/>
        <w:rPr/>
      </w:pPr>
      <w:r>
        <w:rPr/>
        <w:t>Commercial and industrial firm sales and firm transportation customers having contract obligation or average daily usage of more than 10 Mcf but not more than 50 Mcf/d, feedstock gas and living quarters not included in Priority I.</w:t>
      </w:r>
    </w:p>
    <w:p>
      <w:pPr>
        <w:pStyle w:val="Normal"/>
        <w:numPr>
          <w:ilvl w:val="0"/>
          <w:numId w:val="27"/>
        </w:numPr>
        <w:jc w:val="both"/>
        <w:rPr/>
      </w:pPr>
      <w:r>
        <w:rPr/>
        <w:t>Commercial and industrial firm sales and firm transportation customers having contract obligation or average daily usage of more than 50 Mcf/d bu less than 500 Mcf/d and schools</w:t>
      </w:r>
    </w:p>
    <w:p>
      <w:pPr>
        <w:pStyle w:val="Normal"/>
        <w:numPr>
          <w:ilvl w:val="0"/>
          <w:numId w:val="27"/>
        </w:numPr>
        <w:jc w:val="both"/>
        <w:rPr/>
      </w:pPr>
      <w:r>
        <w:rPr/>
        <w:t>Commercial and industrial firm sales and firm transportation customers having contract obligation or average daily usage of more than 500 Mcf/d.</w:t>
      </w:r>
    </w:p>
    <w:p>
      <w:pPr>
        <w:pStyle w:val="Normal"/>
        <w:numPr>
          <w:ilvl w:val="0"/>
          <w:numId w:val="27"/>
        </w:numPr>
        <w:jc w:val="both"/>
        <w:rPr/>
      </w:pPr>
      <w:r>
        <w:rPr/>
        <w:t xml:space="preserve">Interruptible sales and interruptible transportation customers.  </w:t>
      </w:r>
    </w:p>
    <w:p>
      <w:pPr>
        <w:pStyle w:val="Normal"/>
        <w:jc w:val="both"/>
        <w:rPr/>
      </w:pPr>
      <w:r>
        <w:rPr/>
      </w:r>
    </w:p>
    <w:p>
      <w:pPr>
        <w:pStyle w:val="Normal"/>
        <w:jc w:val="both"/>
        <w:rPr/>
      </w:pPr>
      <w:r>
        <w:rPr/>
        <w:t>Class V is curtailed 100% before curtailment occurs in any other class, and this continues up the chain, provided that curtailment to service in Class III shall commence and progress as necessary so that the percentage of contract obligation volume supplied to Service Class III shall be at least 10% but not more than 20% greater than the percentage of contract obligation supplied to Class IV.  Curtailment to Classes IV or III shall not exceed 65% of contract obligations, except at otherwise provided.  After Class IV is curtailed to where the customers in the class are supplied not more than 35% of contract volumes, curtailment of Class III shall progress to where customers in the class are supplied not more than 35% of their contract volume.  After 100% curtailment of Class V, and 35% of Classes VI and III, curtailment to II customers shall commence and continue not to exceed 65% of contract volume or average daily usage.  After that, each shall be curtailed by equal percentages until full curtailment of V through II occurs.  Service is restored in reverse order to curtailments.</w:t>
      </w:r>
    </w:p>
    <w:p>
      <w:pPr>
        <w:pStyle w:val="Normal"/>
        <w:jc w:val="both"/>
        <w:rPr/>
      </w:pPr>
      <w:r>
        <w:rPr/>
      </w:r>
    </w:p>
    <w:p>
      <w:pPr>
        <w:pStyle w:val="Normal"/>
        <w:jc w:val="both"/>
        <w:rPr/>
      </w:pPr>
      <w:r>
        <w:rPr/>
        <w:t xml:space="preserve">Any commercial or industrial customer who exceeds limitations in curtailment notice in excess of 5% during the curtailment shall be subject to a $1.00 per therm penalty for all gas taken in excess of the limitation.  Intentional overruns can be cause for service termination.  </w:t>
      </w:r>
    </w:p>
    <w:p>
      <w:pPr>
        <w:pStyle w:val="Normal"/>
        <w:jc w:val="both"/>
        <w:rPr/>
      </w:pPr>
      <w:r>
        <w:rPr/>
      </w:r>
    </w:p>
    <w:p>
      <w:pPr>
        <w:pStyle w:val="Normal"/>
        <w:jc w:val="both"/>
        <w:rPr/>
      </w:pPr>
      <w:r>
        <w:rPr/>
        <w:t>Curtailment of Customer-Owned Gas:  When sufficient volumes of company gas are not available to meet demand, NIPSCO shall have the right to curtail on a pro rata basis Customer-owned gas scheduled to be transported for the Customer, to fulfill the gas requirements of NIPSCO.  Company shall reimburse Customers for gas used at an amount equal to the average of the Chicago City Gate Index Price for large end users as published in Natural Gas Intelligence Daily Gas Price.</w:t>
      </w:r>
      <w:r>
        <w:br w:type="page"/>
      </w:r>
    </w:p>
    <w:p>
      <w:pPr>
        <w:pStyle w:val="Heading1"/>
        <w:ind w:hanging="0" w:start="0"/>
        <w:rPr/>
      </w:pPr>
      <w:r>
        <w:rPr/>
        <w:t>Pipelines into</w:t>
      </w:r>
      <w:r>
        <w:rPr>
          <w:b w:val="false"/>
          <w:bCs w:val="false"/>
        </w:rPr>
        <w:t xml:space="preserve"> </w:t>
      </w:r>
      <w:r>
        <w:rPr/>
        <w:t>New York City Market</w:t>
      </w:r>
    </w:p>
    <w:p>
      <w:pPr>
        <w:pStyle w:val="Normal"/>
        <w:rPr>
          <w:b/>
          <w:u w:val="single"/>
        </w:rPr>
      </w:pPr>
      <w:r>
        <w:rPr>
          <w:b/>
          <w:u w:val="single"/>
        </w:rPr>
      </w:r>
    </w:p>
    <w:tbl>
      <w:tblPr>
        <w:tblW w:w="15120" w:type="dxa"/>
        <w:jc w:val="start"/>
        <w:tblInd w:w="18" w:type="dxa"/>
        <w:tblLayout w:type="fixed"/>
        <w:tblCellMar>
          <w:top w:w="0" w:type="dxa"/>
          <w:start w:w="108" w:type="dxa"/>
          <w:bottom w:w="0" w:type="dxa"/>
          <w:end w:w="108" w:type="dxa"/>
        </w:tblCellMar>
      </w:tblPr>
      <w:tblGrid>
        <w:gridCol w:w="1170"/>
        <w:gridCol w:w="1800"/>
        <w:gridCol w:w="2250"/>
        <w:gridCol w:w="2160"/>
        <w:gridCol w:w="2070"/>
        <w:gridCol w:w="2340"/>
        <w:gridCol w:w="1620"/>
        <w:gridCol w:w="1710"/>
      </w:tblGrid>
      <w:tr>
        <w:trPr>
          <w:tblHeader w:val="true"/>
        </w:trPr>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b/>
              </w:rPr>
            </w:pPr>
            <w:bookmarkStart w:id="0" w:name="_Hlk501261715"/>
            <w:bookmarkEnd w:id="0"/>
            <w:r>
              <w:rPr>
                <w:b/>
              </w:rPr>
              <w:t>`</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Daily Balancing</w:t>
            </w:r>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Monthly Balancing</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Scheduling Variances Daily</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Scheduling Variances Monthly</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Unauthorized Overrun</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OFO</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Allocation Rules</w:t>
            </w:r>
          </w:p>
        </w:tc>
      </w:tr>
      <w:tr>
        <w:trPr/>
        <w:tc>
          <w:tcPr>
            <w:tcW w:w="1170" w:type="dxa"/>
            <w:tcBorders>
              <w:top w:val="single" w:sz="4" w:space="0" w:color="000000"/>
              <w:start w:val="single" w:sz="4" w:space="0" w:color="000000"/>
              <w:bottom w:val="single" w:sz="4" w:space="0" w:color="000000"/>
              <w:end w:val="single" w:sz="4" w:space="0" w:color="000000"/>
            </w:tcBorders>
          </w:tcPr>
          <w:p>
            <w:pPr>
              <w:pStyle w:val="Normal"/>
              <w:rPr/>
            </w:pPr>
            <w:r>
              <w:rPr/>
              <w:t>Iroquois</w:t>
            </w:r>
          </w:p>
        </w:tc>
        <w:tc>
          <w:tcPr>
            <w:tcW w:w="1800" w:type="dxa"/>
            <w:tcBorders>
              <w:top w:val="single" w:sz="4" w:space="0" w:color="000000"/>
              <w:start w:val="single" w:sz="4" w:space="0" w:color="000000"/>
              <w:bottom w:val="single" w:sz="4" w:space="0" w:color="000000"/>
              <w:end w:val="single" w:sz="4" w:space="0" w:color="000000"/>
            </w:tcBorders>
          </w:tcPr>
          <w:p>
            <w:pPr>
              <w:pStyle w:val="Normal"/>
              <w:numPr>
                <w:ilvl w:val="0"/>
                <w:numId w:val="4"/>
              </w:numPr>
              <w:tabs>
                <w:tab w:val="clear" w:pos="720"/>
                <w:tab w:val="left" w:pos="1080" w:leader="none"/>
              </w:tabs>
              <w:rPr/>
            </w:pPr>
            <w:r>
              <w:rPr>
                <w:b/>
              </w:rPr>
              <w:t xml:space="preserve">Tolerance:  </w:t>
            </w:r>
            <w:r>
              <w:rPr/>
              <w:t>the greater of 4% or 400 Dth.</w:t>
            </w:r>
          </w:p>
          <w:p>
            <w:pPr>
              <w:pStyle w:val="Normal"/>
              <w:numPr>
                <w:ilvl w:val="0"/>
                <w:numId w:val="4"/>
              </w:numPr>
              <w:tabs>
                <w:tab w:val="clear" w:pos="720"/>
                <w:tab w:val="left" w:pos="1080" w:leader="none"/>
              </w:tabs>
              <w:rPr/>
            </w:pPr>
            <w:r>
              <w:rPr>
                <w:b/>
              </w:rPr>
              <w:t>Penalty</w:t>
            </w:r>
            <w:r>
              <w:rPr/>
              <w:t xml:space="preserve">: $.75 per Dth.  </w:t>
            </w:r>
          </w:p>
          <w:p>
            <w:pPr>
              <w:pStyle w:val="Normal"/>
              <w:numPr>
                <w:ilvl w:val="0"/>
                <w:numId w:val="4"/>
              </w:numPr>
              <w:tabs>
                <w:tab w:val="clear" w:pos="720"/>
                <w:tab w:val="left" w:pos="1080" w:leader="none"/>
              </w:tabs>
              <w:rPr/>
            </w:pPr>
            <w:r>
              <w:rPr/>
              <w:t>Pipeline must give 48 hours notice to initiate corrective action before penalty can be assessed.  Shipper must reduce imbalance to zero within 45 days.</w:t>
            </w:r>
          </w:p>
        </w:tc>
        <w:tc>
          <w:tcPr>
            <w:tcW w:w="2250" w:type="dxa"/>
            <w:tcBorders>
              <w:top w:val="single" w:sz="4" w:space="0" w:color="000000"/>
              <w:start w:val="single" w:sz="4" w:space="0" w:color="000000"/>
              <w:bottom w:val="single" w:sz="4" w:space="0" w:color="000000"/>
              <w:end w:val="single" w:sz="4" w:space="0" w:color="000000"/>
            </w:tcBorders>
          </w:tcPr>
          <w:p>
            <w:pPr>
              <w:pStyle w:val="Normal"/>
              <w:numPr>
                <w:ilvl w:val="0"/>
                <w:numId w:val="15"/>
              </w:numPr>
              <w:tabs>
                <w:tab w:val="clear" w:pos="720"/>
                <w:tab w:val="left" w:pos="2160" w:leader="none"/>
              </w:tabs>
              <w:rPr/>
            </w:pPr>
            <w:r>
              <w:rPr>
                <w:b/>
              </w:rPr>
              <w:t>Tolerance:</w:t>
            </w:r>
            <w:r>
              <w:rPr/>
              <w:t xml:space="preserve"> the greater of 4% or 400 Dth.</w:t>
            </w:r>
          </w:p>
          <w:p>
            <w:pPr>
              <w:pStyle w:val="Normal"/>
              <w:numPr>
                <w:ilvl w:val="0"/>
                <w:numId w:val="15"/>
              </w:numPr>
              <w:tabs>
                <w:tab w:val="clear" w:pos="720"/>
                <w:tab w:val="left" w:pos="2160" w:leader="none"/>
              </w:tabs>
              <w:rPr/>
            </w:pPr>
            <w:r>
              <w:rPr>
                <w:b/>
              </w:rPr>
              <w:t>Penalty</w:t>
            </w:r>
            <w:r>
              <w:rPr/>
              <w:t>: $.75 per Dth</w:t>
            </w:r>
          </w:p>
          <w:p>
            <w:pPr>
              <w:pStyle w:val="Normal"/>
              <w:numPr>
                <w:ilvl w:val="0"/>
                <w:numId w:val="15"/>
              </w:numPr>
              <w:tabs>
                <w:tab w:val="clear" w:pos="720"/>
                <w:tab w:val="left" w:pos="2160" w:leader="none"/>
              </w:tabs>
              <w:rPr/>
            </w:pPr>
            <w:r>
              <w:rPr/>
              <w:t>Pipeline must provide notice 7 days prior to the end of each month if shipper imbalance may exceed tolerance.  Penalty may be assessed if shipper does not agree on corrective action within 2 Gas days or does not take action agreed upon.</w:t>
            </w:r>
          </w:p>
        </w:tc>
        <w:tc>
          <w:tcPr>
            <w:tcW w:w="2160" w:type="dxa"/>
            <w:tcBorders>
              <w:top w:val="single" w:sz="4" w:space="0" w:color="000000"/>
              <w:start w:val="single" w:sz="4" w:space="0" w:color="000000"/>
              <w:bottom w:val="single" w:sz="4" w:space="0" w:color="000000"/>
              <w:end w:val="single" w:sz="4" w:space="0" w:color="000000"/>
            </w:tcBorders>
          </w:tcPr>
          <w:p>
            <w:pPr>
              <w:pStyle w:val="Normal"/>
              <w:numPr>
                <w:ilvl w:val="0"/>
                <w:numId w:val="8"/>
              </w:numPr>
              <w:rPr/>
            </w:pPr>
            <w:r>
              <w:rPr>
                <w:b/>
              </w:rPr>
              <w:t>Tolerance:</w:t>
            </w:r>
            <w:r>
              <w:rPr/>
              <w:t xml:space="preserve"> the greater of 10% or 400 Dth at a receipt or delivery point.</w:t>
            </w:r>
          </w:p>
          <w:p>
            <w:pPr>
              <w:pStyle w:val="Normal"/>
              <w:numPr>
                <w:ilvl w:val="0"/>
                <w:numId w:val="8"/>
              </w:numPr>
              <w:rPr/>
            </w:pPr>
            <w:r>
              <w:rPr>
                <w:b/>
              </w:rPr>
              <w:t>Penalty</w:t>
            </w:r>
            <w:r>
              <w:rPr/>
              <w:t>: an amount equal to the maximum ITS rate for service to the zone delivered.</w:t>
            </w:r>
          </w:p>
          <w:p>
            <w:pPr>
              <w:pStyle w:val="Normal"/>
              <w:numPr>
                <w:ilvl w:val="0"/>
                <w:numId w:val="8"/>
              </w:numPr>
              <w:rPr/>
            </w:pPr>
            <w:r>
              <w:rPr/>
              <w:t>Penalty is based on the amount by which actual receipts or deliveries exceed or are less than scheduled volumes.</w:t>
            </w:r>
          </w:p>
          <w:p>
            <w:pPr>
              <w:pStyle w:val="Normal"/>
              <w:numPr>
                <w:ilvl w:val="0"/>
                <w:numId w:val="8"/>
              </w:numPr>
              <w:rPr/>
            </w:pPr>
            <w:r>
              <w:rPr/>
              <w:t>If scheduling penalties applicable at both receipt and delivery points on any day, shipper pays only the greater of the two.</w:t>
            </w:r>
          </w:p>
        </w:tc>
        <w:tc>
          <w:tcPr>
            <w:tcW w:w="2070" w:type="dxa"/>
            <w:tcBorders>
              <w:top w:val="single" w:sz="4" w:space="0" w:color="000000"/>
              <w:start w:val="single" w:sz="4" w:space="0" w:color="000000"/>
              <w:bottom w:val="single" w:sz="4" w:space="0" w:color="000000"/>
              <w:end w:val="single" w:sz="4" w:space="0" w:color="000000"/>
            </w:tcBorders>
          </w:tcPr>
          <w:p>
            <w:pPr>
              <w:pStyle w:val="Normal"/>
              <w:rPr/>
            </w:pPr>
            <w:r>
              <w:rPr/>
              <w:t>N/A</w:t>
            </w:r>
          </w:p>
        </w:tc>
        <w:tc>
          <w:tcPr>
            <w:tcW w:w="2340" w:type="dxa"/>
            <w:tcBorders>
              <w:top w:val="single" w:sz="4" w:space="0" w:color="000000"/>
              <w:start w:val="single" w:sz="4" w:space="0" w:color="000000"/>
              <w:bottom w:val="single" w:sz="4" w:space="0" w:color="000000"/>
              <w:end w:val="single" w:sz="4" w:space="0" w:color="000000"/>
            </w:tcBorders>
          </w:tcPr>
          <w:p>
            <w:pPr>
              <w:pStyle w:val="Normal"/>
              <w:numPr>
                <w:ilvl w:val="0"/>
                <w:numId w:val="11"/>
              </w:numPr>
              <w:rPr/>
            </w:pPr>
            <w:r>
              <w:rPr>
                <w:b/>
              </w:rPr>
              <w:t>Tolerance:</w:t>
            </w:r>
            <w:r>
              <w:rPr/>
              <w:t xml:space="preserve">  2% of the maximum contract quantity at a delivery point.</w:t>
            </w:r>
          </w:p>
          <w:p>
            <w:pPr>
              <w:pStyle w:val="Normal"/>
              <w:numPr>
                <w:ilvl w:val="0"/>
                <w:numId w:val="11"/>
              </w:numPr>
              <w:rPr/>
            </w:pPr>
            <w:r>
              <w:rPr>
                <w:b/>
              </w:rPr>
              <w:t>Penalty</w:t>
            </w:r>
            <w:r>
              <w:rPr/>
              <w:t>:  $2.50 per Dth up to 50 Dth, and $25.00 per Dth thereafter.</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rPr/>
              <w:t>Pipeline may issue orders specifying required responses during critical periods when system integrity or safe operation is threatened.  No penalties specified in tariff.</w:t>
            </w:r>
          </w:p>
        </w:tc>
        <w:tc>
          <w:tcPr>
            <w:tcW w:w="1710" w:type="dxa"/>
            <w:tcBorders>
              <w:top w:val="single" w:sz="4" w:space="0" w:color="000000"/>
              <w:start w:val="single" w:sz="4" w:space="0" w:color="000000"/>
              <w:bottom w:val="single" w:sz="4" w:space="0" w:color="000000"/>
              <w:end w:val="single" w:sz="4" w:space="0" w:color="000000"/>
            </w:tcBorders>
          </w:tcPr>
          <w:p>
            <w:pPr>
              <w:pStyle w:val="Normal"/>
              <w:rPr/>
            </w:pPr>
            <w:r>
              <w:rPr/>
              <w:t>Predetermined allocation methodology (PDA)</w:t>
            </w:r>
            <w:r>
              <w:rPr>
                <w:rStyle w:val="FootnoteCharacters"/>
                <w:rStyle w:val="FootnoteReference"/>
              </w:rPr>
              <w:footnoteReference w:id="2"/>
            </w:r>
            <w:r>
              <w:rPr/>
              <w:t xml:space="preserve"> unless an operational balancing agreement (OBA)</w:t>
            </w:r>
            <w:r>
              <w:rPr>
                <w:rStyle w:val="FootnoteCharacters"/>
                <w:rStyle w:val="FootnoteReference"/>
              </w:rPr>
              <w:footnoteReference w:id="3"/>
            </w:r>
            <w:r>
              <w:rPr/>
              <w:t xml:space="preserve"> is in effect at the point.</w:t>
            </w:r>
          </w:p>
          <w:p>
            <w:pPr>
              <w:pStyle w:val="Normal"/>
              <w:rPr/>
            </w:pPr>
            <w:r>
              <w:rPr/>
            </w:r>
          </w:p>
        </w:tc>
      </w:tr>
      <w:tr>
        <w:trPr/>
        <w:tc>
          <w:tcPr>
            <w:tcW w:w="1170" w:type="dxa"/>
            <w:tcBorders>
              <w:top w:val="single" w:sz="4" w:space="0" w:color="000000"/>
              <w:start w:val="single" w:sz="4" w:space="0" w:color="000000"/>
              <w:bottom w:val="single" w:sz="4" w:space="0" w:color="000000"/>
              <w:end w:val="single" w:sz="4" w:space="0" w:color="000000"/>
            </w:tcBorders>
          </w:tcPr>
          <w:p>
            <w:pPr>
              <w:pStyle w:val="Normal"/>
              <w:rPr/>
            </w:pPr>
            <w:r>
              <w:rPr/>
              <w:t>Tennes-see</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numPr>
                <w:ilvl w:val="0"/>
                <w:numId w:val="29"/>
              </w:numPr>
              <w:rPr/>
            </w:pPr>
            <w:r>
              <w:rPr>
                <w:b/>
              </w:rPr>
              <w:t>Tolerance:</w:t>
            </w:r>
            <w:r>
              <w:rPr/>
              <w:t xml:space="preserve">  greater of 10% or 1000 dth.</w:t>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40" w:type="dxa"/>
            <w:tcBorders>
              <w:top w:val="single" w:sz="4" w:space="0" w:color="000000"/>
              <w:start w:val="single" w:sz="4" w:space="0" w:color="000000"/>
              <w:bottom w:val="single" w:sz="4" w:space="0" w:color="000000"/>
              <w:end w:val="single" w:sz="4" w:space="0" w:color="000000"/>
            </w:tcBorders>
          </w:tcPr>
          <w:p>
            <w:pPr>
              <w:pStyle w:val="Normal"/>
              <w:numPr>
                <w:ilvl w:val="0"/>
                <w:numId w:val="5"/>
              </w:numPr>
              <w:rPr/>
            </w:pPr>
            <w:r>
              <w:rPr>
                <w:b/>
              </w:rPr>
              <w:t>Tolerance:</w:t>
            </w:r>
            <w:r>
              <w:rPr/>
              <w:t xml:space="preserve">  2% of the maximum contract quantity at a delivery point</w:t>
            </w:r>
          </w:p>
          <w:p>
            <w:pPr>
              <w:pStyle w:val="Normal"/>
              <w:numPr>
                <w:ilvl w:val="0"/>
                <w:numId w:val="5"/>
              </w:numPr>
              <w:rPr/>
            </w:pPr>
            <w:r>
              <w:rPr>
                <w:b/>
              </w:rPr>
              <w:t>Penalty</w:t>
            </w:r>
            <w:r>
              <w:rPr/>
              <w:t>:  $10.00 per Dth</w:t>
            </w:r>
          </w:p>
        </w:tc>
        <w:tc>
          <w:tcPr>
            <w:tcW w:w="1620" w:type="dxa"/>
            <w:tcBorders>
              <w:top w:val="single" w:sz="4" w:space="0" w:color="000000"/>
              <w:start w:val="single" w:sz="4" w:space="0" w:color="000000"/>
              <w:bottom w:val="single" w:sz="4" w:space="0" w:color="000000"/>
              <w:end w:val="single" w:sz="4" w:space="0" w:color="000000"/>
            </w:tcBorders>
          </w:tcPr>
          <w:p>
            <w:pPr>
              <w:pStyle w:val="Normal"/>
              <w:numPr>
                <w:ilvl w:val="0"/>
                <w:numId w:val="26"/>
              </w:numPr>
              <w:rPr/>
            </w:pPr>
            <w:r>
              <w:rPr/>
              <w:t>For Balancing Alert</w:t>
              <w:br/>
            </w:r>
            <w:r>
              <w:rPr>
                <w:b/>
              </w:rPr>
              <w:t>Penalty</w:t>
            </w:r>
            <w:r>
              <w:rPr/>
              <w:t>: $15.00 per Dth plus the applicable Regional Daily Spot Price per Dth</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170" w:type="dxa"/>
            <w:tcBorders>
              <w:top w:val="single" w:sz="4" w:space="0" w:color="000000"/>
              <w:start w:val="single" w:sz="4" w:space="0" w:color="000000"/>
              <w:bottom w:val="single" w:sz="4" w:space="0" w:color="000000"/>
              <w:end w:val="single" w:sz="4" w:space="0" w:color="000000"/>
            </w:tcBorders>
          </w:tcPr>
          <w:p>
            <w:pPr>
              <w:pStyle w:val="Normal"/>
              <w:rPr/>
            </w:pPr>
            <w:r>
              <w:rPr/>
              <w:t>TETCO</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170" w:type="dxa"/>
            <w:tcBorders>
              <w:top w:val="single" w:sz="4" w:space="0" w:color="000000"/>
              <w:start w:val="single" w:sz="4" w:space="0" w:color="000000"/>
              <w:bottom w:val="single" w:sz="4" w:space="0" w:color="000000"/>
              <w:end w:val="single" w:sz="4" w:space="0" w:color="000000"/>
            </w:tcBorders>
          </w:tcPr>
          <w:p>
            <w:pPr>
              <w:pStyle w:val="Normal"/>
              <w:rPr/>
            </w:pPr>
            <w:r>
              <w:rPr/>
              <w:t>Transco</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25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pPr>
            <w:r>
              <w:rPr>
                <w:b/>
              </w:rPr>
              <w:t>Tolerance:</w:t>
            </w:r>
            <w:r>
              <w:rPr/>
              <w:t xml:space="preserve">  greater of 5% or 1000 Dth</w:t>
            </w:r>
          </w:p>
          <w:p>
            <w:pPr>
              <w:pStyle w:val="Normal"/>
              <w:numPr>
                <w:ilvl w:val="0"/>
                <w:numId w:val="21"/>
              </w:numPr>
              <w:rPr>
                <w:b/>
              </w:rPr>
            </w:pPr>
            <w:r>
              <w:rPr>
                <w:b/>
              </w:rPr>
              <w:t xml:space="preserve">Cash Out:  </w:t>
            </w:r>
            <w:r>
              <w:rPr/>
              <w:t>Based on monthly reference spot price</w:t>
            </w:r>
          </w:p>
          <w:p>
            <w:pPr>
              <w:pStyle w:val="Normal"/>
              <w:numPr>
                <w:ilvl w:val="0"/>
                <w:numId w:val="21"/>
              </w:numPr>
              <w:rPr/>
            </w:pPr>
            <w:r>
              <w:rPr>
                <w:b/>
              </w:rPr>
              <w:t>Penalty Factors:</w:t>
            </w:r>
            <w:r>
              <w:rPr/>
              <w:t xml:space="preserve"> </w:t>
              <w:br/>
              <w:t>For imbalances &gt;5% and &lt;10%, factor =20%</w:t>
              <w:br/>
              <w:t>&gt;10%-&lt;15%=30%</w:t>
              <w:br/>
              <w:t>&gt;15%-&lt;20%=40%</w:t>
              <w:br/>
              <w:t>&gt;20%=50%</w:t>
            </w:r>
          </w:p>
        </w:tc>
        <w:tc>
          <w:tcPr>
            <w:tcW w:w="2160" w:type="dxa"/>
            <w:tcBorders>
              <w:top w:val="single" w:sz="4" w:space="0" w:color="000000"/>
              <w:start w:val="single" w:sz="4" w:space="0" w:color="000000"/>
              <w:bottom w:val="single" w:sz="4" w:space="0" w:color="000000"/>
              <w:end w:val="single" w:sz="4" w:space="0" w:color="000000"/>
            </w:tcBorders>
          </w:tcPr>
          <w:p>
            <w:pPr>
              <w:pStyle w:val="Normal"/>
              <w:numPr>
                <w:ilvl w:val="0"/>
                <w:numId w:val="28"/>
              </w:numPr>
              <w:rPr/>
            </w:pPr>
            <w:r>
              <w:rPr>
                <w:b/>
              </w:rPr>
              <w:t xml:space="preserve">Tolerance: </w:t>
            </w:r>
            <w:r>
              <w:rPr/>
              <w:t xml:space="preserve"> 10%.</w:t>
            </w:r>
          </w:p>
          <w:p>
            <w:pPr>
              <w:pStyle w:val="Normal"/>
              <w:numPr>
                <w:ilvl w:val="0"/>
                <w:numId w:val="28"/>
              </w:numPr>
              <w:rPr/>
            </w:pPr>
            <w:r>
              <w:rPr>
                <w:b/>
              </w:rPr>
              <w:t>Penalty</w:t>
            </w:r>
            <w:r>
              <w:rPr/>
              <w:t>:  an amount equal to the IT rate</w:t>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40" w:type="dxa"/>
            <w:tcBorders>
              <w:top w:val="single" w:sz="4" w:space="0" w:color="000000"/>
              <w:start w:val="single" w:sz="4" w:space="0" w:color="000000"/>
              <w:bottom w:val="single" w:sz="4" w:space="0" w:color="000000"/>
              <w:end w:val="single" w:sz="4" w:space="0" w:color="000000"/>
            </w:tcBorders>
          </w:tcPr>
          <w:p>
            <w:pPr>
              <w:pStyle w:val="Normal"/>
              <w:numPr>
                <w:ilvl w:val="0"/>
                <w:numId w:val="25"/>
              </w:numPr>
              <w:rPr/>
            </w:pPr>
            <w:r>
              <w:rPr>
                <w:b/>
              </w:rPr>
              <w:t>Tolerance:</w:t>
            </w:r>
            <w:r>
              <w:rPr/>
              <w:t xml:space="preserve"> 100 dt or .2% of the maximum contract quantity, whichever is greater.</w:t>
            </w:r>
          </w:p>
          <w:p>
            <w:pPr>
              <w:pStyle w:val="Normal"/>
              <w:numPr>
                <w:ilvl w:val="0"/>
                <w:numId w:val="25"/>
              </w:numPr>
              <w:rPr/>
            </w:pPr>
            <w:r>
              <w:rPr>
                <w:b/>
              </w:rPr>
              <w:t>Penalty</w:t>
            </w:r>
            <w:r>
              <w:rPr/>
              <w:t>:  $10 per dt</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pPr>
      <w:r>
        <w:rPr/>
      </w:r>
    </w:p>
    <w:p>
      <w:pPr>
        <w:pStyle w:val="Normal"/>
        <w:rPr/>
      </w:pPr>
      <w:r>
        <w:rPr/>
      </w:r>
    </w:p>
    <w:p>
      <w:pPr>
        <w:pStyle w:val="Normal"/>
        <w:rPr/>
      </w:pPr>
      <w:r>
        <w:rPr/>
      </w:r>
    </w:p>
    <w:p>
      <w:pPr>
        <w:pStyle w:val="Normal"/>
        <w:rPr/>
      </w:pPr>
      <w:r>
        <w:rPr/>
      </w:r>
    </w:p>
    <w:p>
      <w:pPr>
        <w:pStyle w:val="Heading1"/>
        <w:ind w:hanging="0" w:start="0"/>
        <w:rPr/>
      </w:pPr>
      <w:r>
        <w:rPr/>
        <w:t>Chicago</w:t>
      </w:r>
    </w:p>
    <w:p>
      <w:pPr>
        <w:pStyle w:val="Normal"/>
        <w:rPr>
          <w:b/>
          <w:u w:val="single"/>
        </w:rPr>
      </w:pPr>
      <w:r>
        <w:rPr>
          <w:b/>
          <w:u w:val="single"/>
        </w:rPr>
      </w:r>
    </w:p>
    <w:tbl>
      <w:tblPr>
        <w:tblW w:w="15120" w:type="dxa"/>
        <w:jc w:val="start"/>
        <w:tblInd w:w="18" w:type="dxa"/>
        <w:tblLayout w:type="fixed"/>
        <w:tblCellMar>
          <w:top w:w="0" w:type="dxa"/>
          <w:start w:w="108" w:type="dxa"/>
          <w:bottom w:w="0" w:type="dxa"/>
          <w:end w:w="108" w:type="dxa"/>
        </w:tblCellMar>
      </w:tblPr>
      <w:tblGrid>
        <w:gridCol w:w="1170"/>
        <w:gridCol w:w="1800"/>
        <w:gridCol w:w="2250"/>
        <w:gridCol w:w="2160"/>
        <w:gridCol w:w="2070"/>
        <w:gridCol w:w="2340"/>
        <w:gridCol w:w="1620"/>
        <w:gridCol w:w="1710"/>
      </w:tblGrid>
      <w:tr>
        <w:trPr>
          <w:tblHeader w:val="true"/>
        </w:trPr>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Pipeline</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Daily Balancing</w:t>
            </w:r>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Monthly Balancing</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Scheduling Variances Daily</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Scheduling Variances Monthly</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Unauthorized Overrun</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OFO</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Allocation Rules</w:t>
            </w:r>
          </w:p>
        </w:tc>
      </w:tr>
      <w:tr>
        <w:trPr/>
        <w:tc>
          <w:tcPr>
            <w:tcW w:w="1170" w:type="dxa"/>
            <w:tcBorders>
              <w:top w:val="single" w:sz="4" w:space="0" w:color="000000"/>
              <w:start w:val="single" w:sz="4" w:space="0" w:color="000000"/>
              <w:bottom w:val="single" w:sz="4" w:space="0" w:color="000000"/>
              <w:end w:val="single" w:sz="4" w:space="0" w:color="000000"/>
            </w:tcBorders>
          </w:tcPr>
          <w:p>
            <w:pPr>
              <w:pStyle w:val="Normal"/>
              <w:rPr/>
            </w:pPr>
            <w:r>
              <w:rPr/>
              <w:t>Alliance</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170" w:type="dxa"/>
            <w:tcBorders>
              <w:top w:val="single" w:sz="4" w:space="0" w:color="000000"/>
              <w:start w:val="single" w:sz="4" w:space="0" w:color="000000"/>
              <w:bottom w:val="single" w:sz="4" w:space="0" w:color="000000"/>
              <w:end w:val="single" w:sz="4" w:space="0" w:color="000000"/>
            </w:tcBorders>
          </w:tcPr>
          <w:p>
            <w:pPr>
              <w:pStyle w:val="Normal"/>
              <w:rPr/>
            </w:pPr>
            <w:r>
              <w:rPr/>
              <w:t>ANR</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170" w:type="dxa"/>
            <w:tcBorders>
              <w:top w:val="single" w:sz="4" w:space="0" w:color="000000"/>
              <w:start w:val="single" w:sz="4" w:space="0" w:color="000000"/>
              <w:bottom w:val="single" w:sz="4" w:space="0" w:color="000000"/>
              <w:end w:val="single" w:sz="4" w:space="0" w:color="000000"/>
            </w:tcBorders>
          </w:tcPr>
          <w:p>
            <w:pPr>
              <w:pStyle w:val="Normal"/>
              <w:rPr/>
            </w:pPr>
            <w:r>
              <w:rPr/>
              <w:t>Mid-western</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170" w:type="dxa"/>
            <w:tcBorders>
              <w:top w:val="single" w:sz="4" w:space="0" w:color="000000"/>
              <w:start w:val="single" w:sz="4" w:space="0" w:color="000000"/>
              <w:bottom w:val="single" w:sz="4" w:space="0" w:color="000000"/>
              <w:end w:val="single" w:sz="4" w:space="0" w:color="000000"/>
            </w:tcBorders>
          </w:tcPr>
          <w:p>
            <w:pPr>
              <w:pStyle w:val="Normal"/>
              <w:rPr/>
            </w:pPr>
            <w:r>
              <w:rPr/>
              <w:t>NGPL</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170" w:type="dxa"/>
            <w:tcBorders>
              <w:top w:val="single" w:sz="4" w:space="0" w:color="000000"/>
              <w:start w:val="single" w:sz="4" w:space="0" w:color="000000"/>
              <w:bottom w:val="single" w:sz="4" w:space="0" w:color="000000"/>
              <w:end w:val="single" w:sz="4" w:space="0" w:color="000000"/>
            </w:tcBorders>
          </w:tcPr>
          <w:p>
            <w:pPr>
              <w:pStyle w:val="Normal"/>
              <w:rPr/>
            </w:pPr>
            <w:r>
              <w:rPr/>
              <w:t>Northern Border</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170" w:type="dxa"/>
            <w:tcBorders>
              <w:top w:val="single" w:sz="4" w:space="0" w:color="000000"/>
              <w:start w:val="single" w:sz="4" w:space="0" w:color="000000"/>
              <w:bottom w:val="single" w:sz="4" w:space="0" w:color="000000"/>
              <w:end w:val="single" w:sz="4" w:space="0" w:color="000000"/>
            </w:tcBorders>
          </w:tcPr>
          <w:p>
            <w:pPr>
              <w:pStyle w:val="Normal"/>
              <w:rPr/>
            </w:pPr>
            <w:r>
              <w:rPr/>
              <w:t>Northern Natural</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pPr>
      <w:r>
        <w:rPr/>
      </w:r>
    </w:p>
    <w:p>
      <w:pPr>
        <w:pStyle w:val="Normal"/>
        <w:rPr/>
      </w:pPr>
      <w:r>
        <w:rPr/>
      </w:r>
    </w:p>
    <w:p>
      <w:pPr>
        <w:pStyle w:val="Normal"/>
        <w:rPr/>
      </w:pPr>
      <w:r>
        <w:rPr/>
      </w:r>
    </w:p>
    <w:p>
      <w:pPr>
        <w:pStyle w:val="Normal"/>
        <w:rPr/>
      </w:pPr>
      <w:r>
        <w:rPr/>
      </w:r>
    </w:p>
    <w:p>
      <w:pPr>
        <w:pStyle w:val="Heading1"/>
        <w:ind w:hanging="0" w:start="0"/>
        <w:rPr/>
      </w:pPr>
      <w:r>
        <w:rPr/>
        <w:t>California</w:t>
      </w:r>
    </w:p>
    <w:p>
      <w:pPr>
        <w:pStyle w:val="Normal"/>
        <w:rPr>
          <w:b/>
          <w:u w:val="single"/>
        </w:rPr>
      </w:pPr>
      <w:r>
        <w:rPr>
          <w:b/>
          <w:u w:val="single"/>
        </w:rPr>
      </w:r>
    </w:p>
    <w:tbl>
      <w:tblPr>
        <w:tblW w:w="15120" w:type="dxa"/>
        <w:jc w:val="start"/>
        <w:tblInd w:w="18" w:type="dxa"/>
        <w:tblLayout w:type="fixed"/>
        <w:tblCellMar>
          <w:top w:w="0" w:type="dxa"/>
          <w:start w:w="108" w:type="dxa"/>
          <w:bottom w:w="0" w:type="dxa"/>
          <w:end w:w="108" w:type="dxa"/>
        </w:tblCellMar>
      </w:tblPr>
      <w:tblGrid>
        <w:gridCol w:w="1170"/>
        <w:gridCol w:w="1800"/>
        <w:gridCol w:w="2250"/>
        <w:gridCol w:w="2160"/>
        <w:gridCol w:w="2070"/>
        <w:gridCol w:w="2340"/>
        <w:gridCol w:w="1620"/>
        <w:gridCol w:w="1710"/>
      </w:tblGrid>
      <w:tr>
        <w:trPr>
          <w:tblHeader w:val="true"/>
        </w:trPr>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Pipeline</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Daily Balancing</w:t>
            </w:r>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Monthly Balancing</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Scheduling Variances Daily</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Scheduling Variances Monthly</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Unauthorized Overrun</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OFO</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Allocation Rules</w:t>
            </w:r>
          </w:p>
        </w:tc>
      </w:tr>
      <w:tr>
        <w:trPr/>
        <w:tc>
          <w:tcPr>
            <w:tcW w:w="1170" w:type="dxa"/>
            <w:tcBorders>
              <w:top w:val="single" w:sz="4" w:space="0" w:color="000000"/>
              <w:start w:val="single" w:sz="4" w:space="0" w:color="000000"/>
              <w:bottom w:val="single" w:sz="4" w:space="0" w:color="000000"/>
              <w:end w:val="single" w:sz="4" w:space="0" w:color="000000"/>
            </w:tcBorders>
          </w:tcPr>
          <w:p>
            <w:pPr>
              <w:pStyle w:val="Normal"/>
              <w:rPr/>
            </w:pPr>
            <w:r>
              <w:rPr/>
              <w:t>El Paso</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170" w:type="dxa"/>
            <w:tcBorders>
              <w:top w:val="single" w:sz="4" w:space="0" w:color="000000"/>
              <w:start w:val="single" w:sz="4" w:space="0" w:color="000000"/>
              <w:bottom w:val="single" w:sz="4" w:space="0" w:color="000000"/>
              <w:end w:val="single" w:sz="4" w:space="0" w:color="000000"/>
            </w:tcBorders>
          </w:tcPr>
          <w:p>
            <w:pPr>
              <w:pStyle w:val="Normal"/>
              <w:rPr/>
            </w:pPr>
            <w:r>
              <w:rPr/>
              <w:t>Kern River</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170" w:type="dxa"/>
            <w:tcBorders>
              <w:top w:val="single" w:sz="4" w:space="0" w:color="000000"/>
              <w:start w:val="single" w:sz="4" w:space="0" w:color="000000"/>
              <w:bottom w:val="single" w:sz="4" w:space="0" w:color="000000"/>
              <w:end w:val="single" w:sz="4" w:space="0" w:color="000000"/>
            </w:tcBorders>
          </w:tcPr>
          <w:p>
            <w:pPr>
              <w:pStyle w:val="Normal"/>
              <w:rPr/>
            </w:pPr>
            <w:r>
              <w:rPr/>
              <w:t>Mojave</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170" w:type="dxa"/>
            <w:tcBorders>
              <w:top w:val="single" w:sz="4" w:space="0" w:color="000000"/>
              <w:start w:val="single" w:sz="4" w:space="0" w:color="000000"/>
              <w:bottom w:val="single" w:sz="4" w:space="0" w:color="000000"/>
              <w:end w:val="single" w:sz="4" w:space="0" w:color="000000"/>
            </w:tcBorders>
          </w:tcPr>
          <w:p>
            <w:pPr>
              <w:pStyle w:val="Normal"/>
              <w:rPr/>
            </w:pPr>
            <w:r>
              <w:rPr/>
              <w:t>PGT</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170" w:type="dxa"/>
            <w:tcBorders>
              <w:top w:val="single" w:sz="4" w:space="0" w:color="000000"/>
              <w:start w:val="single" w:sz="4" w:space="0" w:color="000000"/>
              <w:bottom w:val="single" w:sz="4" w:space="0" w:color="000000"/>
              <w:end w:val="single" w:sz="4" w:space="0" w:color="000000"/>
            </w:tcBorders>
          </w:tcPr>
          <w:p>
            <w:pPr>
              <w:pStyle w:val="Normal"/>
              <w:rPr/>
            </w:pPr>
            <w:r>
              <w:rPr/>
              <w:t>Trans-western</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pPr>
      <w:r>
        <w:rPr/>
      </w:r>
    </w:p>
    <w:p>
      <w:pPr>
        <w:pStyle w:val="Normal"/>
        <w:widowControl w:val="false"/>
        <w:rPr/>
      </w:pPr>
      <w:r>
        <w:rPr/>
      </w:r>
    </w:p>
    <w:p>
      <w:pPr>
        <w:pStyle w:val="BodyText"/>
        <w:rPr/>
      </w:pPr>
      <w:r>
        <w:rPr/>
      </w:r>
    </w:p>
    <w:sectPr>
      <w:headerReference w:type="default" r:id="rId2"/>
      <w:headerReference w:type="first" r:id="rId3"/>
      <w:footnotePr>
        <w:numFmt w:val="decimal"/>
      </w:footnotePr>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GISB Flowing Gas Standards provide for these types of allocation methods:  Ranked, Pro Rata, Percentage, Swing, and Operator Provided Value.  PDAs must be agreed upon before gas flows.</w:t>
      </w:r>
    </w:p>
  </w:footnote>
  <w:footnote w:id="3">
    <w:p>
      <w:pPr>
        <w:pStyle w:val="FootnoteText"/>
        <w:rPr/>
      </w:pPr>
      <w:r>
        <w:rPr>
          <w:rStyle w:val="FootnoteCharacters"/>
        </w:rPr>
        <w:footnoteRef/>
      </w:r>
      <w:r>
        <w:rPr/>
        <w:t xml:space="preserve"> </w:t>
      </w:r>
      <w:r>
        <w:rPr/>
        <w:t>When an OBA is in effect at a point, shippers are allocated their confirmed and scheduled volumes and any differences between those and the actual flows are resolved between the pipeline and the point operator.</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23">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1080"/>
        </w:tabs>
        <w:ind w:start="1080" w:hanging="360"/>
      </w:pPr>
      <w:rPr/>
    </w:lvl>
  </w:abstractNum>
  <w:abstractNum w:abstractNumId="4">
    <w:lvl w:ilvl="0">
      <w:start w:val="1"/>
      <w:numFmt w:val="bullet"/>
      <w:lvlText w:val=""/>
      <w:lvlJc w:val="start"/>
      <w:pPr>
        <w:tabs>
          <w:tab w:val="num" w:pos="360"/>
        </w:tabs>
        <w:ind w:start="72" w:hanging="72"/>
      </w:pPr>
      <w:rPr>
        <w:rFonts w:ascii="Symbol" w:hAnsi="Symbol" w:cs="Symbol" w:hint="default"/>
        <w:color w:val="auto"/>
      </w:rPr>
    </w:lvl>
  </w:abstractNum>
  <w:abstractNum w:abstractNumId="5">
    <w:lvl w:ilvl="0">
      <w:start w:val="1"/>
      <w:numFmt w:val="bullet"/>
      <w:lvlText w:val=""/>
      <w:lvlJc w:val="start"/>
      <w:pPr>
        <w:tabs>
          <w:tab w:val="num" w:pos="360"/>
        </w:tabs>
        <w:ind w:start="72" w:hanging="72"/>
      </w:pPr>
      <w:rPr>
        <w:rFonts w:ascii="Symbol" w:hAnsi="Symbol" w:cs="Symbol" w:hint="default"/>
        <w:color w:val="auto"/>
      </w:rPr>
    </w:lvl>
  </w:abstractNum>
  <w:abstractNum w:abstractNumId="6">
    <w:lvl w:ilvl="0">
      <w:start w:val="2"/>
      <w:numFmt w:val="decimal"/>
      <w:lvlText w:val="%1."/>
      <w:lvlJc w:val="start"/>
      <w:pPr>
        <w:tabs>
          <w:tab w:val="num" w:pos="720"/>
        </w:tabs>
        <w:ind w:start="720" w:hanging="360"/>
      </w:pPr>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72" w:hanging="72"/>
      </w:pPr>
      <w:rPr>
        <w:rFonts w:ascii="Symbol" w:hAnsi="Symbol" w:cs="Symbol" w:hint="default"/>
        <w:color w:val="auto"/>
      </w:rPr>
    </w:lvl>
  </w:abstractNum>
  <w:abstractNum w:abstractNumId="9">
    <w:lvl w:ilvl="0">
      <w:start w:val="1"/>
      <w:numFmt w:val="decimal"/>
      <w:lvlText w:val="%1."/>
      <w:lvlJc w:val="start"/>
      <w:pPr>
        <w:tabs>
          <w:tab w:val="num" w:pos="720"/>
        </w:tabs>
        <w:ind w:start="720" w:hanging="360"/>
      </w:pPr>
    </w:lvl>
  </w:abstractNum>
  <w:abstractNum w:abstractNumId="10">
    <w:lvl w:ilvl="0">
      <w:start w:val="3"/>
      <w:numFmt w:val="decimal"/>
      <w:lvlText w:val="%1)"/>
      <w:lvlJc w:val="start"/>
      <w:pPr>
        <w:tabs>
          <w:tab w:val="num" w:pos="2160"/>
        </w:tabs>
        <w:ind w:start="2160" w:hanging="720"/>
      </w:pPr>
      <w:rPr/>
    </w:lvl>
  </w:abstractNum>
  <w:abstractNum w:abstractNumId="11">
    <w:lvl w:ilvl="0">
      <w:start w:val="1"/>
      <w:numFmt w:val="bullet"/>
      <w:lvlText w:val=""/>
      <w:lvlJc w:val="start"/>
      <w:pPr>
        <w:tabs>
          <w:tab w:val="num" w:pos="360"/>
        </w:tabs>
        <w:ind w:start="72" w:hanging="72"/>
      </w:pPr>
      <w:rPr>
        <w:rFonts w:ascii="Symbol" w:hAnsi="Symbol" w:cs="Symbol" w:hint="default"/>
        <w:color w:val="auto"/>
      </w:rPr>
    </w:lvl>
  </w:abstractNum>
  <w:abstractNum w:abstractNumId="12">
    <w:lvl w:ilvl="0">
      <w:start w:val="1"/>
      <w:numFmt w:val="decimal"/>
      <w:lvlText w:val="%1."/>
      <w:lvlJc w:val="start"/>
      <w:pPr>
        <w:tabs>
          <w:tab w:val="num" w:pos="720"/>
        </w:tabs>
        <w:ind w:start="720" w:hanging="360"/>
      </w:p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72" w:hanging="72"/>
      </w:pPr>
      <w:rPr>
        <w:rFonts w:ascii="Symbol" w:hAnsi="Symbol" w:cs="Symbol" w:hint="default"/>
        <w:color w:val="auto"/>
      </w:rPr>
    </w:lvl>
  </w:abstractNum>
  <w:abstractNum w:abstractNumId="16">
    <w:lvl w:ilvl="0">
      <w:start w:val="3"/>
      <w:numFmt w:val="decimal"/>
      <w:lvlText w:val="%1)"/>
      <w:lvlJc w:val="start"/>
      <w:pPr>
        <w:tabs>
          <w:tab w:val="num" w:pos="1080"/>
        </w:tabs>
        <w:ind w:start="1080" w:hanging="720"/>
      </w:pPr>
      <w:rPr/>
    </w:lvl>
  </w:abstractNum>
  <w:abstractNum w:abstractNumId="17">
    <w:lvl w:ilvl="0">
      <w:start w:val="1"/>
      <w:numFmt w:val="decimal"/>
      <w:lvlText w:val="%1."/>
      <w:lvlJc w:val="start"/>
      <w:pPr>
        <w:tabs>
          <w:tab w:val="num" w:pos="720"/>
        </w:tabs>
        <w:ind w:start="720" w:hanging="360"/>
      </w:pPr>
    </w:lvl>
  </w:abstractNum>
  <w:abstractNum w:abstractNumId="18">
    <w:lvl w:ilvl="0">
      <w:start w:val="1"/>
      <w:numFmt w:val="decimal"/>
      <w:lvlText w:val="%1."/>
      <w:lvlJc w:val="start"/>
      <w:pPr>
        <w:tabs>
          <w:tab w:val="num" w:pos="720"/>
        </w:tabs>
        <w:ind w:start="720" w:hanging="360"/>
      </w:p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72" w:hanging="72"/>
      </w:pPr>
      <w:rPr>
        <w:rFonts w:ascii="Symbol" w:hAnsi="Symbol" w:cs="Symbol" w:hint="default"/>
        <w:color w:val="auto"/>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decimal"/>
      <w:lvlText w:val="%1)"/>
      <w:lvlJc w:val="start"/>
      <w:pPr>
        <w:tabs>
          <w:tab w:val="num" w:pos="1800"/>
        </w:tabs>
        <w:ind w:start="1800" w:hanging="360"/>
      </w:p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
      <w:numFmt w:val="bullet"/>
      <w:lvlText w:val=""/>
      <w:lvlJc w:val="start"/>
      <w:pPr>
        <w:tabs>
          <w:tab w:val="num" w:pos="360"/>
        </w:tabs>
        <w:ind w:start="72" w:hanging="72"/>
      </w:pPr>
      <w:rPr>
        <w:rFonts w:ascii="Symbol" w:hAnsi="Symbol" w:cs="Symbol" w:hint="default"/>
        <w:color w:val="auto"/>
      </w:rPr>
    </w:lvl>
  </w:abstractNum>
  <w:abstractNum w:abstractNumId="26">
    <w:lvl w:ilvl="0">
      <w:start w:val="1"/>
      <w:numFmt w:val="bullet"/>
      <w:lvlText w:val=""/>
      <w:lvlJc w:val="start"/>
      <w:pPr>
        <w:tabs>
          <w:tab w:val="num" w:pos="360"/>
        </w:tabs>
        <w:ind w:start="72" w:hanging="72"/>
      </w:pPr>
      <w:rPr>
        <w:rFonts w:ascii="Symbol" w:hAnsi="Symbol" w:cs="Symbol" w:hint="default"/>
        <w:color w:val="auto"/>
      </w:rPr>
    </w:lvl>
  </w:abstractNum>
  <w:abstractNum w:abstractNumId="27">
    <w:lvl w:ilvl="0">
      <w:start w:val="1"/>
      <w:numFmt w:val="upperRoman"/>
      <w:lvlText w:val="%1."/>
      <w:lvlJc w:val="start"/>
      <w:pPr>
        <w:tabs>
          <w:tab w:val="num" w:pos="1440"/>
        </w:tabs>
        <w:ind w:start="1440" w:hanging="720"/>
      </w:pPr>
      <w:rPr/>
    </w:lvl>
  </w:abstractNum>
  <w:abstractNum w:abstractNumId="28">
    <w:lvl w:ilvl="0">
      <w:start w:val="1"/>
      <w:numFmt w:val="bullet"/>
      <w:lvlText w:val=""/>
      <w:lvlJc w:val="start"/>
      <w:pPr>
        <w:tabs>
          <w:tab w:val="num" w:pos="360"/>
        </w:tabs>
        <w:ind w:start="72" w:hanging="72"/>
      </w:pPr>
      <w:rPr>
        <w:rFonts w:ascii="Symbol" w:hAnsi="Symbol" w:cs="Symbol" w:hint="default"/>
        <w:color w:val="auto"/>
      </w:rPr>
    </w:lvl>
  </w:abstractNum>
  <w:abstractNum w:abstractNumId="29">
    <w:lvl w:ilvl="0">
      <w:start w:val="1"/>
      <w:numFmt w:val="bullet"/>
      <w:lvlText w:val=""/>
      <w:lvlJc w:val="start"/>
      <w:pPr>
        <w:tabs>
          <w:tab w:val="num" w:pos="360"/>
        </w:tabs>
        <w:ind w:start="72" w:hanging="72"/>
      </w:pPr>
      <w:rPr>
        <w:rFonts w:ascii="Symbol" w:hAnsi="Symbol" w:cs="Symbol" w:hint="default"/>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widowControl w:val="false"/>
      <w:numPr>
        <w:ilvl w:val="2"/>
        <w:numId w:val="1"/>
      </w:numPr>
      <w:outlineLvl w:val="2"/>
    </w:pPr>
    <w:rPr>
      <w:b/>
      <w:sz w:val="20"/>
      <w:szCs w:val="20"/>
      <w:u w:val="single"/>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rFonts w:ascii="Symbol" w:hAnsi="Symbol" w:cs="Symbol"/>
      <w:color w:val="auto"/>
    </w:rPr>
  </w:style>
  <w:style w:type="character" w:styleId="WW8Num4z0">
    <w:name w:val="WW8Num4z0"/>
    <w:qFormat/>
    <w:rPr>
      <w:rFonts w:ascii="Symbol" w:hAnsi="Symbol" w:cs="Symbol"/>
      <w:color w:val="auto"/>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rFonts w:ascii="Symbol" w:hAnsi="Symbol" w:cs="Symbol"/>
      <w:color w:val="auto"/>
    </w:rPr>
  </w:style>
  <w:style w:type="character" w:styleId="WW8Num9z0">
    <w:name w:val="WW8Num9z0"/>
    <w:qFormat/>
    <w:rPr/>
  </w:style>
  <w:style w:type="character" w:styleId="WW8Num10z0">
    <w:name w:val="WW8Num10z0"/>
    <w:qFormat/>
    <w:rPr>
      <w:rFonts w:ascii="Symbol" w:hAnsi="Symbol" w:cs="Symbol"/>
      <w:color w:val="auto"/>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color w:val="auto"/>
    </w:rPr>
  </w:style>
  <w:style w:type="character" w:styleId="WW8Num15z0">
    <w:name w:val="WW8Num15z0"/>
    <w:qFormat/>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color w:val="auto"/>
    </w:rPr>
  </w:style>
  <w:style w:type="character" w:styleId="WW8Num21z0">
    <w:name w:val="WW8Num21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color w:val="auto"/>
    </w:rPr>
  </w:style>
  <w:style w:type="character" w:styleId="WW8Num25z0">
    <w:name w:val="WW8Num25z0"/>
    <w:qFormat/>
    <w:rPr>
      <w:rFonts w:ascii="Symbol" w:hAnsi="Symbol" w:cs="Symbol"/>
      <w:color w:val="auto"/>
    </w:rPr>
  </w:style>
  <w:style w:type="character" w:styleId="WW8Num26z0">
    <w:name w:val="WW8Num26z0"/>
    <w:qFormat/>
    <w:rPr/>
  </w:style>
  <w:style w:type="character" w:styleId="WW8Num27z0">
    <w:name w:val="WW8Num27z0"/>
    <w:qFormat/>
    <w:rPr/>
  </w:style>
  <w:style w:type="character" w:styleId="WW8Num28z0">
    <w:name w:val="WW8Num28z0"/>
    <w:qFormat/>
    <w:rPr>
      <w:rFonts w:ascii="Symbol" w:hAnsi="Symbol" w:cs="Symbol"/>
      <w:color w:val="auto"/>
    </w:rPr>
  </w:style>
  <w:style w:type="character" w:styleId="WW8Num29z0">
    <w:name w:val="WW8Num29z0"/>
    <w:qFormat/>
    <w:rPr>
      <w:rFonts w:ascii="Symbol" w:hAnsi="Symbol" w:cs="Symbol"/>
      <w:color w:val="auto"/>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color w:val="391001"/>
    </w:rPr>
  </w:style>
  <w:style w:type="paragraph" w:styleId="BodyTextIndent">
    <w:name w:val="Body Text Indent"/>
    <w:basedOn w:val="Normal"/>
    <w:pPr>
      <w:ind w:firstLine="360" w:start="0" w:end="0"/>
      <w:jc w:val="both"/>
    </w:pPr>
    <w:rPr/>
  </w:style>
  <w:style w:type="paragraph" w:styleId="DeliveryPhrase">
    <w:name w:val="Delivery Phrase"/>
    <w:basedOn w:val="Normal"/>
    <w:qFormat/>
    <w:pPr>
      <w:spacing w:before="0" w:after="240"/>
    </w:pPr>
    <w:rPr>
      <w:b/>
      <w:caps/>
      <w:szCs w:val="20"/>
      <w:u w:val="single"/>
    </w:rPr>
  </w:style>
  <w:style w:type="paragraph" w:styleId="FootnoteText">
    <w:name w:val="footnote text"/>
    <w:basedOn w:val="Normal"/>
    <w:pPr>
      <w:keepLines/>
      <w:spacing w:lineRule="exact" w:line="240"/>
    </w:pPr>
    <w:rPr>
      <w:sz w:val="22"/>
      <w:szCs w:val="20"/>
    </w:rPr>
  </w:style>
  <w:style w:type="paragraph" w:styleId="MemoHeading">
    <w:name w:val="Memo Heading"/>
    <w:qFormat/>
    <w:pPr>
      <w:widowControl/>
      <w:bidi w:val="0"/>
      <w:spacing w:before="0" w:after="180"/>
    </w:pPr>
    <w:rPr>
      <w:rFonts w:ascii="Arial" w:hAnsi="Arial" w:eastAsia="Times New Roman" w:cs="Arial"/>
      <w:b/>
      <w:color w:val="auto"/>
      <w:sz w:val="20"/>
      <w:szCs w:val="20"/>
      <w:lang w:val="en-US" w:eastAsia="en-CA" w:bidi="ar-S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
    <w:name w:val="Body"/>
    <w:basedOn w:val="Normal"/>
    <w:qFormat/>
    <w:pPr>
      <w:overflowPunct w:val="false"/>
      <w:autoSpaceDE w:val="false"/>
      <w:ind w:hanging="0" w:start="72" w:end="0"/>
      <w:textAlignment w:val="baseline"/>
    </w:pPr>
    <w:rPr>
      <w:rFonts w:ascii="Arial" w:hAnsi="Arial" w:cs="Arial"/>
      <w:color w:val="000080"/>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2000-12-13T16:25:00Z</dcterms:created>
  <dc:creator>llawner</dc:creator>
  <dc:description/>
  <dc:language>en-CA</dc:language>
  <cp:lastModifiedBy>llawner</cp:lastModifiedBy>
  <cp:lastPrinted>2000-12-13T15:15:00Z</cp:lastPrinted>
  <dcterms:modified xsi:type="dcterms:W3CDTF">2000-12-13T19:45:00Z</dcterms:modified>
  <cp:revision>6</cp:revision>
  <dc:subject/>
  <dc:title>1</dc:title>
</cp:coreProperties>
</file>