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Aug 17,2000</w:t>
      </w:r>
    </w:p>
    <w:p>
      <w:pPr>
        <w:pStyle w:val="Normal"/>
        <w:rPr>
          <w:rFonts w:ascii="Arial" w:hAnsi="Arial" w:cs="Arial"/>
          <w:sz w:val="22"/>
        </w:rPr>
      </w:pPr>
      <w:r>
        <w:rPr>
          <w:rFonts w:cs="Arial" w:ascii="Arial" w:hAnsi="Arial"/>
          <w:sz w:val="22"/>
        </w:rPr>
      </w:r>
    </w:p>
    <w:p>
      <w:pPr>
        <w:pStyle w:val="Heading3"/>
        <w:ind w:hanging="0" w:start="0"/>
        <w:rPr>
          <w:rFonts w:ascii="Arial" w:hAnsi="Arial" w:cs="Arial"/>
          <w:sz w:val="22"/>
        </w:rPr>
      </w:pPr>
      <w:r>
        <w:rPr>
          <w:rFonts w:cs="Arial" w:ascii="Arial" w:hAnsi="Arial"/>
          <w:sz w:val="22"/>
        </w:rPr>
      </w:r>
    </w:p>
    <w:p>
      <w:pPr>
        <w:pStyle w:val="Heading3"/>
        <w:ind w:hanging="0" w:start="0"/>
        <w:rPr/>
      </w:pPr>
      <w:r>
        <w:rPr/>
        <w:t>Jon McKenzie, Gas Marketing</w:t>
      </w:r>
    </w:p>
    <w:p>
      <w:pPr>
        <w:pStyle w:val="Normal"/>
        <w:rPr>
          <w:rFonts w:ascii="Univers (W1);Arial" w:hAnsi="Univers (W1);Arial" w:cs="Univers (W1);Arial"/>
          <w:sz w:val="21"/>
        </w:rPr>
      </w:pPr>
      <w:r>
        <w:rPr>
          <w:rFonts w:cs="Univers (W1);Arial" w:ascii="Univers (W1);Arial" w:hAnsi="Univers (W1);Arial"/>
          <w:sz w:val="21"/>
        </w:rPr>
        <w:t>Crestar Energy Marketing / Crestar Energy Marketing US Inc.</w:t>
      </w:r>
    </w:p>
    <w:p>
      <w:pPr>
        <w:pStyle w:val="Normal"/>
        <w:rPr/>
      </w:pPr>
      <w:r>
        <w:rPr>
          <w:rFonts w:cs="Univers (W1);Arial" w:ascii="Univers (W1);Arial" w:hAnsi="Univers (W1);Arial"/>
          <w:sz w:val="21"/>
        </w:rPr>
        <w:t>333-7</w:t>
      </w:r>
      <w:r>
        <w:rPr>
          <w:rFonts w:cs="Univers (W1);Arial" w:ascii="Univers (W1);Arial" w:hAnsi="Univers (W1);Arial"/>
          <w:sz w:val="21"/>
          <w:vertAlign w:val="superscript"/>
        </w:rPr>
        <w:t>th</w:t>
      </w:r>
      <w:r>
        <w:rPr>
          <w:rFonts w:cs="Univers (W1);Arial" w:ascii="Univers (W1);Arial" w:hAnsi="Univers (W1);Arial"/>
          <w:sz w:val="21"/>
        </w:rPr>
        <w:t xml:space="preserve"> Ave. S.W.</w:t>
      </w:r>
    </w:p>
    <w:p>
      <w:pPr>
        <w:pStyle w:val="Normal"/>
        <w:rPr>
          <w:rFonts w:ascii="Univers (W1);Arial" w:hAnsi="Univers (W1);Arial" w:cs="Univers (W1);Arial"/>
          <w:sz w:val="21"/>
        </w:rPr>
      </w:pPr>
      <w:r>
        <w:rPr>
          <w:rFonts w:cs="Univers (W1);Arial" w:ascii="Univers (W1);Arial" w:hAnsi="Univers (W1);Arial"/>
          <w:sz w:val="21"/>
        </w:rPr>
        <w:t>Calgary, Ab</w:t>
      </w:r>
    </w:p>
    <w:p>
      <w:pPr>
        <w:pStyle w:val="Normal"/>
        <w:rPr>
          <w:rFonts w:ascii="Univers (W1);Arial" w:hAnsi="Univers (W1);Arial" w:cs="Univers (W1);Arial"/>
          <w:sz w:val="21"/>
        </w:rPr>
      </w:pPr>
      <w:r>
        <w:rPr>
          <w:rFonts w:cs="Univers (W1);Arial" w:ascii="Univers (W1);Arial" w:hAnsi="Univers (W1);Arial"/>
          <w:sz w:val="21"/>
        </w:rPr>
        <w:t>T2P 4M8</w:t>
      </w:r>
    </w:p>
    <w:p>
      <w:pPr>
        <w:pStyle w:val="Normal"/>
        <w:rPr>
          <w:rFonts w:ascii="Univers (W1);Arial" w:hAnsi="Univers (W1);Arial" w:cs="Univers (W1);Arial"/>
          <w:sz w:val="21"/>
        </w:rPr>
      </w:pPr>
      <w:r>
        <w:rPr>
          <w:rFonts w:cs="Univers (W1);Arial" w:ascii="Univers (W1);Arial" w:hAnsi="Univers (W1);Arial"/>
          <w:sz w:val="21"/>
        </w:rPr>
      </w:r>
    </w:p>
    <w:p>
      <w:pPr>
        <w:pStyle w:val="Normal"/>
        <w:rPr>
          <w:rFonts w:ascii="Univers (W1);Arial" w:hAnsi="Univers (W1);Arial" w:cs="Univers (W1);Arial"/>
          <w:sz w:val="21"/>
        </w:rPr>
      </w:pPr>
      <w:r>
        <w:rPr>
          <w:rFonts w:cs="Univers (W1);Arial" w:ascii="Univers (W1);Arial" w:hAnsi="Univers (W1);Arial"/>
          <w:sz w:val="21"/>
        </w:rPr>
      </w:r>
    </w:p>
    <w:p>
      <w:pPr>
        <w:pStyle w:val="Normal"/>
        <w:rPr>
          <w:rFonts w:ascii="Univers (W1);Arial" w:hAnsi="Univers (W1);Arial" w:cs="Univers (W1);Arial"/>
          <w:b/>
          <w:sz w:val="21"/>
          <w:u w:val="single"/>
        </w:rPr>
      </w:pPr>
      <w:r>
        <w:rPr>
          <w:rFonts w:cs="Univers (W1);Arial" w:ascii="Univers (W1);Arial" w:hAnsi="Univers (W1);Arial"/>
          <w:b/>
          <w:sz w:val="21"/>
          <w:u w:val="single"/>
        </w:rPr>
        <w:t xml:space="preserve">Re: Chicago Market – Proposal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BodyText2"/>
        <w:rPr/>
      </w:pPr>
      <w:r>
        <w:rPr/>
        <w:t xml:space="preserve">Jon, please find my revised proposal which outlines the Enron North America (“ENA”) proposal to Crestar Energy Marketing US Inc. ( “Crestar” ) for Natural Gas that will be delivered off of the Alliance Pipeline in Chicago market area. </w:t>
      </w:r>
    </w:p>
    <w:p>
      <w:pPr>
        <w:pStyle w:val="Normal"/>
        <w:ind w:end="-1044"/>
        <w:jc w:val="both"/>
        <w:rPr>
          <w:rFonts w:ascii="Arial" w:hAnsi="Arial" w:cs="Arial"/>
          <w:b/>
          <w:sz w:val="22"/>
          <w:u w:val="single"/>
        </w:rPr>
      </w:pPr>
      <w:r>
        <w:rPr>
          <w:rFonts w:cs="Arial" w:ascii="Arial" w:hAnsi="Arial"/>
          <w:b/>
          <w:sz w:val="22"/>
          <w:u w:val="single"/>
        </w:rPr>
      </w:r>
    </w:p>
    <w:p>
      <w:pPr>
        <w:pStyle w:val="Normal"/>
        <w:ind w:end="-1044"/>
        <w:jc w:val="both"/>
        <w:rPr>
          <w:rFonts w:ascii="Arial" w:hAnsi="Arial" w:cs="Arial"/>
          <w:b/>
          <w:sz w:val="22"/>
          <w:u w:val="single"/>
        </w:rPr>
      </w:pPr>
      <w:r>
        <w:rPr>
          <w:rFonts w:cs="Arial" w:ascii="Arial" w:hAnsi="Arial"/>
          <w:b/>
          <w:sz w:val="22"/>
          <w:u w:val="single"/>
        </w:rPr>
        <w:t>Monthly Volumes:</w:t>
      </w:r>
    </w:p>
    <w:p>
      <w:pPr>
        <w:pStyle w:val="Normal"/>
        <w:ind w:end="-1044"/>
        <w:jc w:val="both"/>
        <w:rPr>
          <w:rFonts w:ascii="Arial" w:hAnsi="Arial" w:cs="Arial"/>
          <w:b/>
          <w:sz w:val="22"/>
          <w:u w:val="single"/>
        </w:rPr>
      </w:pPr>
      <w:r>
        <w:rPr>
          <w:rFonts w:cs="Arial" w:ascii="Arial" w:hAnsi="Arial"/>
          <w:b/>
          <w:sz w:val="22"/>
          <w:u w:val="single"/>
        </w:rPr>
      </w:r>
    </w:p>
    <w:p>
      <w:pPr>
        <w:pStyle w:val="Normal"/>
        <w:ind w:end="-1044"/>
        <w:jc w:val="both"/>
        <w:rPr>
          <w:rFonts w:ascii="Arial" w:hAnsi="Arial" w:cs="Arial"/>
          <w:b/>
          <w:sz w:val="22"/>
          <w:u w:val="single"/>
        </w:rPr>
      </w:pPr>
      <w:r>
        <w:rPr>
          <w:rFonts w:cs="Arial" w:ascii="Arial" w:hAnsi="Arial"/>
          <w:b/>
          <w:sz w:val="22"/>
          <w:u w:val="single"/>
        </w:rPr>
      </w:r>
    </w:p>
    <w:tbl>
      <w:tblPr>
        <w:tblW w:w="10548" w:type="dxa"/>
        <w:jc w:val="start"/>
        <w:tblInd w:w="0" w:type="dxa"/>
        <w:tblLayout w:type="fixed"/>
        <w:tblCellMar>
          <w:top w:w="0" w:type="dxa"/>
          <w:start w:w="108" w:type="dxa"/>
          <w:bottom w:w="0" w:type="dxa"/>
          <w:end w:w="108" w:type="dxa"/>
        </w:tblCellMar>
      </w:tblPr>
      <w:tblGrid>
        <w:gridCol w:w="2808"/>
        <w:gridCol w:w="7740"/>
      </w:tblGrid>
      <w:tr>
        <w:trPr/>
        <w:tc>
          <w:tcPr>
            <w:tcW w:w="2808" w:type="dxa"/>
            <w:tcBorders/>
          </w:tcPr>
          <w:p>
            <w:pPr>
              <w:pStyle w:val="Normal"/>
              <w:ind w:end="-576"/>
              <w:jc w:val="both"/>
              <w:rPr>
                <w:rFonts w:ascii="Arial" w:hAnsi="Arial" w:cs="Arial"/>
                <w:b/>
                <w:sz w:val="22"/>
                <w:u w:val="single"/>
              </w:rPr>
            </w:pPr>
            <w:r>
              <w:rPr>
                <w:rFonts w:cs="Arial" w:ascii="Arial" w:hAnsi="Arial"/>
                <w:b/>
                <w:sz w:val="22"/>
              </w:rPr>
              <w:t xml:space="preserve">Seller: </w:t>
            </w:r>
          </w:p>
        </w:tc>
        <w:tc>
          <w:tcPr>
            <w:tcW w:w="7740" w:type="dxa"/>
            <w:tcBorders/>
          </w:tcPr>
          <w:p>
            <w:pPr>
              <w:pStyle w:val="Normal"/>
              <w:ind w:end="720"/>
              <w:rPr>
                <w:rFonts w:ascii="Arial" w:hAnsi="Arial" w:cs="Arial"/>
                <w:sz w:val="22"/>
              </w:rPr>
            </w:pPr>
            <w:r>
              <w:rPr>
                <w:rFonts w:cs="Arial" w:ascii="Arial" w:hAnsi="Arial"/>
                <w:sz w:val="22"/>
              </w:rPr>
              <w:t xml:space="preserve">Crestar Energy Marketing Corp. </w:t>
            </w:r>
          </w:p>
        </w:tc>
      </w:tr>
      <w:tr>
        <w:trPr/>
        <w:tc>
          <w:tcPr>
            <w:tcW w:w="2808" w:type="dxa"/>
            <w:tcBorders/>
          </w:tcPr>
          <w:p>
            <w:pPr>
              <w:pStyle w:val="Normal"/>
              <w:snapToGrid w:val="false"/>
              <w:ind w:end="-576"/>
              <w:jc w:val="both"/>
              <w:rPr>
                <w:rFonts w:ascii="Arial" w:hAnsi="Arial" w:cs="Arial"/>
                <w:b/>
                <w:sz w:val="22"/>
                <w:u w:val="single"/>
              </w:rPr>
            </w:pPr>
            <w:r>
              <w:rPr>
                <w:rFonts w:cs="Arial" w:ascii="Arial" w:hAnsi="Arial"/>
                <w:b/>
                <w:sz w:val="22"/>
                <w:u w:val="single"/>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Buyer:</w:t>
            </w:r>
          </w:p>
        </w:tc>
        <w:tc>
          <w:tcPr>
            <w:tcW w:w="7740" w:type="dxa"/>
            <w:tcBorders/>
          </w:tcPr>
          <w:p>
            <w:pPr>
              <w:pStyle w:val="Normal"/>
              <w:ind w:end="720"/>
              <w:rPr>
                <w:rFonts w:ascii="Arial" w:hAnsi="Arial" w:cs="Arial"/>
                <w:sz w:val="22"/>
              </w:rPr>
            </w:pPr>
            <w:r>
              <w:rPr>
                <w:rFonts w:cs="Arial" w:ascii="Arial" w:hAnsi="Arial"/>
                <w:sz w:val="22"/>
              </w:rPr>
              <w:t>Enron North America</w:t>
            </w:r>
          </w:p>
        </w:tc>
      </w:tr>
      <w:tr>
        <w:trPr/>
        <w:tc>
          <w:tcPr>
            <w:tcW w:w="2808" w:type="dxa"/>
            <w:tcBorders/>
          </w:tcPr>
          <w:p>
            <w:pPr>
              <w:pStyle w:val="Normal"/>
              <w:snapToGrid w:val="false"/>
              <w:ind w:end="-576"/>
              <w:jc w:val="both"/>
              <w:rPr>
                <w:rFonts w:ascii="Arial" w:hAnsi="Arial" w:cs="Arial"/>
                <w:b/>
                <w:sz w:val="22"/>
                <w:u w:val="single"/>
              </w:rPr>
            </w:pPr>
            <w:r>
              <w:rPr>
                <w:rFonts w:cs="Arial" w:ascii="Arial" w:hAnsi="Arial"/>
                <w:b/>
                <w:sz w:val="22"/>
                <w:u w:val="single"/>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Period of Delivery:</w:t>
            </w:r>
          </w:p>
        </w:tc>
        <w:tc>
          <w:tcPr>
            <w:tcW w:w="7740" w:type="dxa"/>
            <w:tcBorders/>
          </w:tcPr>
          <w:p>
            <w:pPr>
              <w:pStyle w:val="Normal"/>
              <w:ind w:end="720"/>
              <w:rPr>
                <w:rFonts w:ascii="Arial" w:hAnsi="Arial" w:cs="Arial"/>
                <w:sz w:val="22"/>
              </w:rPr>
            </w:pPr>
            <w:r>
              <w:rPr>
                <w:rFonts w:cs="Arial" w:ascii="Arial" w:hAnsi="Arial"/>
                <w:sz w:val="22"/>
              </w:rPr>
              <w:t>November 1, 2000  – October 31, 2001</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Delivery Point:</w:t>
            </w:r>
          </w:p>
        </w:tc>
        <w:tc>
          <w:tcPr>
            <w:tcW w:w="7740" w:type="dxa"/>
            <w:tcBorders/>
          </w:tcPr>
          <w:p>
            <w:pPr>
              <w:pStyle w:val="Normal"/>
              <w:ind w:end="720"/>
              <w:rPr>
                <w:rFonts w:ascii="Arial" w:hAnsi="Arial" w:cs="Arial"/>
                <w:sz w:val="22"/>
              </w:rPr>
            </w:pPr>
            <w:r>
              <w:rPr>
                <w:rFonts w:cs="Arial" w:ascii="Arial" w:hAnsi="Arial"/>
                <w:sz w:val="22"/>
              </w:rPr>
              <w:t>At the Interconnect of ANR ( Joliet ) and Alliance Pipeline Ltd.</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Enron will take firm delivery at the primary delivery point, however Enron will have the right to direct the nomination to an alternate point on Alliance Pipeline for all or a portion of the DCQ.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Enron shall provide sufficient notice of the change to the delivery point to allow Crestar time to meet pipeline obligations.  Crestar must acknowledge receipt of this request for a delivery change.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Crestar agrees to submit this nomination as requested. In the event that there are no redelivery opportunities, then Enron agrees to take the gas off of the primary delivery point as designated.</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Commercially reasonable efforts are required by both parties.</w:t>
            </w:r>
          </w:p>
          <w:p>
            <w:pPr>
              <w:pStyle w:val="Normal"/>
              <w:ind w:end="720"/>
              <w:rPr>
                <w:rFonts w:ascii="Arial" w:hAnsi="Arial" w:cs="Arial"/>
                <w:sz w:val="22"/>
              </w:rPr>
            </w:pPr>
            <w:r>
              <w:rPr>
                <w:rFonts w:cs="Arial" w:ascii="Arial" w:hAnsi="Arial"/>
                <w:sz w:val="22"/>
              </w:rPr>
            </w:r>
          </w:p>
        </w:tc>
      </w:tr>
      <w:tr>
        <w:trPr>
          <w:trHeight w:val="414" w:hRule="atLeast"/>
        </w:trPr>
        <w:tc>
          <w:tcPr>
            <w:tcW w:w="2808" w:type="dxa"/>
            <w:tcBorders/>
          </w:tcPr>
          <w:p>
            <w:pPr>
              <w:pStyle w:val="Normal"/>
              <w:ind w:end="-576"/>
              <w:jc w:val="both"/>
              <w:rPr>
                <w:rFonts w:ascii="Arial" w:hAnsi="Arial" w:cs="Arial"/>
                <w:b/>
                <w:sz w:val="22"/>
              </w:rPr>
            </w:pPr>
            <w:r>
              <w:rPr>
                <w:rFonts w:cs="Arial" w:ascii="Arial" w:hAnsi="Arial"/>
                <w:b/>
                <w:sz w:val="22"/>
              </w:rPr>
              <w:t>Volume (DCQ):</w:t>
            </w:r>
          </w:p>
        </w:tc>
        <w:tc>
          <w:tcPr>
            <w:tcW w:w="7740" w:type="dxa"/>
            <w:tcBorders/>
          </w:tcPr>
          <w:p>
            <w:pPr>
              <w:pStyle w:val="Normal"/>
              <w:ind w:end="720"/>
              <w:rPr>
                <w:rFonts w:ascii="Arial" w:hAnsi="Arial" w:cs="Arial"/>
                <w:sz w:val="22"/>
              </w:rPr>
            </w:pPr>
            <w:r>
              <w:rPr>
                <w:rFonts w:cs="Arial" w:ascii="Arial" w:hAnsi="Arial"/>
                <w:sz w:val="22"/>
              </w:rPr>
              <w:t xml:space="preserve">21,100 MMbtu/day  </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 xml:space="preserve">Contract Price: </w:t>
            </w:r>
          </w:p>
        </w:tc>
        <w:tc>
          <w:tcPr>
            <w:tcW w:w="7740" w:type="dxa"/>
            <w:tcBorders/>
          </w:tcPr>
          <w:p>
            <w:pPr>
              <w:pStyle w:val="Normal"/>
              <w:ind w:end="720"/>
              <w:rPr>
                <w:rFonts w:ascii="Arial" w:hAnsi="Arial" w:cs="Arial"/>
                <w:sz w:val="22"/>
              </w:rPr>
            </w:pPr>
            <w:r>
              <w:rPr>
                <w:rFonts w:cs="Arial" w:ascii="Arial" w:hAnsi="Arial"/>
                <w:sz w:val="22"/>
              </w:rPr>
              <w:t xml:space="preserve">The contract price for Gas delivered on a firm basis shall be: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Natural Gas Intelligence Chicago Index (Flat ) $ .000 US/MMbtu  where   “Chicago Index” means the price for the applicable delivery Month in U.S. dollars per MMBtu published in the first issue in that Month by Natural Gas Intelligence Gas Price Index, in the table entitled “Spot Gas Prices”, under the heading entitled “Midwest” in the row entitled “Chicago Citygate” and in the column for such month entitled “Bidweek Avg”.</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Volume: (AOS):</w:t>
            </w:r>
          </w:p>
        </w:tc>
        <w:tc>
          <w:tcPr>
            <w:tcW w:w="7740" w:type="dxa"/>
            <w:tcBorders/>
          </w:tcPr>
          <w:p>
            <w:pPr>
              <w:pStyle w:val="Normal"/>
              <w:ind w:end="720"/>
              <w:rPr>
                <w:rFonts w:ascii="Arial" w:hAnsi="Arial" w:cs="Arial"/>
                <w:sz w:val="22"/>
              </w:rPr>
            </w:pPr>
            <w:r>
              <w:rPr>
                <w:rFonts w:cs="Arial" w:ascii="Arial" w:hAnsi="Arial"/>
                <w:sz w:val="22"/>
              </w:rPr>
              <w:t xml:space="preserve">Each nomination day, Alliance Pipeline will advise the shipper regarding the applicable volumes designated to flow under Authorized Overrun Service (AOS). Estimate to be approx between 0  – 20,000 MMbtu/day.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Upon notification of the AOS volume, Crestar shall nominate the AOS volumes to ENA at the delivery point of ANR/Alliance.  Seller agrees to deliver and buyer agrees to take the AOS volumes as made available. AOS must also be economically viable to flow even if AOS has been deemed to be able to flow. </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Contract Price:</w:t>
            </w:r>
          </w:p>
        </w:tc>
        <w:tc>
          <w:tcPr>
            <w:tcW w:w="7740" w:type="dxa"/>
            <w:tcBorders/>
          </w:tcPr>
          <w:p>
            <w:pPr>
              <w:pStyle w:val="Normal"/>
              <w:ind w:end="720"/>
              <w:rPr>
                <w:rFonts w:ascii="Arial" w:hAnsi="Arial" w:cs="Arial"/>
                <w:sz w:val="22"/>
              </w:rPr>
            </w:pPr>
            <w:r>
              <w:rPr>
                <w:rFonts w:cs="Arial" w:ascii="Arial" w:hAnsi="Arial"/>
                <w:sz w:val="22"/>
              </w:rPr>
              <w:t xml:space="preserve">The Contract Price for AOS volumes will be the Gas Daily Daily Index under the heading Citygate – Chicago LDC’s – Large end users in the column  (midpoint) minus $.005 US/MMbtu. </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Balancing Provisions:</w:t>
            </w:r>
          </w:p>
        </w:tc>
        <w:tc>
          <w:tcPr>
            <w:tcW w:w="7740" w:type="dxa"/>
            <w:tcBorders/>
          </w:tcPr>
          <w:p>
            <w:pPr>
              <w:pStyle w:val="Normal"/>
              <w:ind w:end="720"/>
              <w:rPr>
                <w:rFonts w:ascii="Arial" w:hAnsi="Arial" w:cs="Arial"/>
                <w:sz w:val="22"/>
              </w:rPr>
            </w:pPr>
            <w:r>
              <w:rPr>
                <w:rFonts w:cs="Arial" w:ascii="Arial" w:hAnsi="Arial"/>
                <w:sz w:val="22"/>
              </w:rPr>
              <w:t xml:space="preserve">In the event that the seller is unable to deliver the DCQ as a result of Alliance Pipeline curtailments of service, then Enron agrees to act as an agent for Crestar. ENA will balance their daily volumes ensuring that they meet their firm monthly obligation.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ENA may have to purchase at the delivery point either fixed price gas or daily index gas and in either case, Crestar shall pay the replacement cost for the gas ensuring that when acting as Agent, ENA does not experience any economic loss.</w:t>
            </w:r>
          </w:p>
          <w:p>
            <w:pPr>
              <w:pStyle w:val="Normal"/>
              <w:ind w:end="720"/>
              <w:rPr>
                <w:rFonts w:ascii="Arial" w:hAnsi="Arial" w:eastAsia="Arial" w:cs="Arial"/>
                <w:sz w:val="22"/>
              </w:rPr>
            </w:pPr>
            <w:r>
              <w:rPr>
                <w:rFonts w:eastAsia="Arial" w:cs="Arial" w:ascii="Arial" w:hAnsi="Arial"/>
                <w:sz w:val="22"/>
              </w:rPr>
              <w:t xml:space="preserve">   </w:t>
            </w:r>
          </w:p>
        </w:tc>
      </w:tr>
      <w:tr>
        <w:trPr/>
        <w:tc>
          <w:tcPr>
            <w:tcW w:w="2808" w:type="dxa"/>
            <w:tcBorders/>
          </w:tcPr>
          <w:p>
            <w:pPr>
              <w:pStyle w:val="Normal"/>
              <w:ind w:end="-576"/>
              <w:jc w:val="both"/>
              <w:rPr>
                <w:rFonts w:ascii="Arial" w:hAnsi="Arial" w:cs="Arial"/>
                <w:b/>
                <w:sz w:val="22"/>
              </w:rPr>
            </w:pPr>
            <w:r>
              <w:rPr>
                <w:rFonts w:cs="Arial" w:ascii="Arial" w:hAnsi="Arial"/>
                <w:b/>
                <w:sz w:val="22"/>
              </w:rPr>
              <w:t>Sellers Force Majeure:</w:t>
            </w:r>
          </w:p>
        </w:tc>
        <w:tc>
          <w:tcPr>
            <w:tcW w:w="7740" w:type="dxa"/>
            <w:tcBorders/>
          </w:tcPr>
          <w:p>
            <w:pPr>
              <w:pStyle w:val="Normal"/>
              <w:ind w:end="720"/>
              <w:rPr>
                <w:rFonts w:ascii="Arial" w:hAnsi="Arial" w:cs="Arial"/>
                <w:sz w:val="22"/>
              </w:rPr>
            </w:pPr>
            <w:r>
              <w:rPr>
                <w:rFonts w:cs="Arial" w:ascii="Arial" w:hAnsi="Arial"/>
                <w:sz w:val="22"/>
              </w:rPr>
              <w:t>The Seller agrees to deliver firm volumes each day.</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Buyers Force Majeure:</w:t>
            </w:r>
          </w:p>
        </w:tc>
        <w:tc>
          <w:tcPr>
            <w:tcW w:w="7740" w:type="dxa"/>
            <w:tcBorders/>
          </w:tcPr>
          <w:p>
            <w:pPr>
              <w:pStyle w:val="Normal"/>
              <w:ind w:end="720"/>
              <w:rPr>
                <w:rFonts w:ascii="Arial" w:hAnsi="Arial" w:cs="Arial"/>
                <w:sz w:val="22"/>
              </w:rPr>
            </w:pPr>
            <w:r>
              <w:rPr>
                <w:rFonts w:cs="Arial" w:ascii="Arial" w:hAnsi="Arial"/>
                <w:sz w:val="22"/>
              </w:rPr>
              <w:t xml:space="preserve">The Buyer agrees to take firm volumes each day. </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ind w:end="-576"/>
              <w:jc w:val="both"/>
              <w:rPr>
                <w:rFonts w:ascii="Arial" w:hAnsi="Arial" w:cs="Arial"/>
                <w:b/>
                <w:sz w:val="22"/>
              </w:rPr>
            </w:pPr>
            <w:r>
              <w:rPr>
                <w:rFonts w:cs="Arial" w:ascii="Arial" w:hAnsi="Arial"/>
                <w:b/>
                <w:sz w:val="22"/>
              </w:rPr>
              <w:t xml:space="preserve">Other: </w:t>
            </w:r>
          </w:p>
        </w:tc>
        <w:tc>
          <w:tcPr>
            <w:tcW w:w="7740" w:type="dxa"/>
            <w:tcBorders/>
          </w:tcPr>
          <w:p>
            <w:pPr>
              <w:pStyle w:val="BodyText"/>
              <w:rPr/>
            </w:pPr>
            <w:r>
              <w:rPr/>
              <w:t xml:space="preserve">2 months after the start up, both parties agree to review the balancing agreement and AOS agreements to ensure that the intented structure is working as designed.  The baseload deal will not be revisited until the end of the primary term.  </w:t>
            </w:r>
          </w:p>
          <w:p>
            <w:pPr>
              <w:pStyle w:val="Normal"/>
              <w:ind w:end="720"/>
              <w:rPr>
                <w:rFonts w:ascii="Arial" w:hAnsi="Arial" w:cs="Arial"/>
                <w:b/>
                <w:sz w:val="22"/>
              </w:rPr>
            </w:pPr>
            <w:r>
              <w:rPr>
                <w:rFonts w:cs="Arial" w:ascii="Arial" w:hAnsi="Arial"/>
                <w:b/>
                <w:sz w:val="22"/>
              </w:rPr>
            </w:r>
          </w:p>
        </w:tc>
      </w:tr>
    </w:tbl>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This letter represents the commercial conversations between Crestar and Enron and is not intended to replace or act as  the actual confirmation letter that will be executed if and when an actual transaction takes place between the parties.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information provided represents the commercial intent between the parties and is for discussion purposes only.  All items as stated may be subject to change and this letter does not constitute a binding proposal at this time. </w:t>
      </w:r>
    </w:p>
    <w:sectPr>
      <w:headerReference w:type="default" r:id="rId2"/>
      <w:headerReference w:type="first" r:id="rId3"/>
      <w:type w:val="nextPage"/>
      <w:pgSz w:w="12240" w:h="15840"/>
      <w:pgMar w:left="1440" w:right="1440" w:gutter="0" w:header="720" w:top="3024"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rFonts w:ascii="Univers (W1);Arial" w:hAnsi="Univers (W1);Arial" w:cs="Univers (W1);Arial"/>
      <w:b/>
      <w:i/>
      <w:sz w:val="21"/>
      <w:u w:val="single"/>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color w:val="0000FF"/>
      <w:sz w:val="28"/>
    </w:rPr>
  </w:style>
  <w:style w:type="character" w:styleId="WW8Num5z0">
    <w:name w:val="WW8Num5z0"/>
    <w:qFormat/>
    <w:rPr>
      <w:rFonts w:ascii="Wingdings" w:hAnsi="Wingdings" w:cs="Wingdings"/>
      <w:sz w:val="16"/>
    </w:rPr>
  </w:style>
  <w:style w:type="character" w:styleId="WW8Num8z0">
    <w:name w:val="WW8Num8z0"/>
    <w:qFormat/>
    <w:rPr>
      <w:rFonts w:ascii="Symbol" w:hAnsi="Symbol" w:cs="Symbol"/>
      <w:color w:val="0000FF"/>
      <w:sz w:val="28"/>
    </w:rPr>
  </w:style>
  <w:style w:type="character" w:styleId="WW8Num9z0">
    <w:name w:val="WW8Num9z0"/>
    <w:qFormat/>
    <w:rPr>
      <w:rFonts w:ascii="Symbol" w:hAnsi="Symbol" w:cs="Symbol"/>
      <w:color w:val="0000FF"/>
      <w:sz w:val="28"/>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0" w:end="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2000-05-31T17:31:00Z</dcterms:created>
  <dc:creator>Barry Tycholiz</dc:creator>
  <dc:description/>
  <dc:language>en-CA</dc:language>
  <cp:lastModifiedBy>btychol</cp:lastModifiedBy>
  <cp:lastPrinted>2000-08-17T16:35:00Z</cp:lastPrinted>
  <dcterms:modified xsi:type="dcterms:W3CDTF">2000-08-22T18:41:00Z</dcterms:modified>
  <cp:revision>8</cp:revision>
  <dc:subject/>
  <dc:title>October 2, 1995</dc:title>
</cp:coreProperties>
</file>