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u w:val="single"/>
        </w:rPr>
      </w:pPr>
      <w:r>
        <w:rPr>
          <w:b/>
          <w:u w:val="single"/>
        </w:rPr>
      </w:r>
    </w:p>
    <w:p>
      <w:pPr>
        <w:pStyle w:val="Normal"/>
        <w:suppressAutoHyphens w:val="true"/>
        <w:jc w:val="center"/>
        <w:rPr>
          <w:b/>
          <w:u w:val="single"/>
        </w:rPr>
      </w:pPr>
      <w:r>
        <w:rPr>
          <w:b/>
          <w:u w:val="single"/>
        </w:rPr>
        <w:t>ACKNOWLEDGMENT</w:t>
      </w:r>
    </w:p>
    <w:p>
      <w:pPr>
        <w:pStyle w:val="Normal"/>
        <w:suppressAutoHyphens w:val="true"/>
        <w:jc w:val="center"/>
        <w:rPr>
          <w:b/>
          <w:u w:val="single"/>
        </w:rPr>
      </w:pPr>
      <w:r>
        <w:rPr>
          <w:b/>
          <w:u w:val="single"/>
        </w:rPr>
      </w:r>
    </w:p>
    <w:p>
      <w:pPr>
        <w:pStyle w:val="Normal"/>
        <w:suppressAutoHyphens w:val="true"/>
        <w:jc w:val="center"/>
        <w:rPr>
          <w:b/>
          <w:u w:val="single"/>
        </w:rPr>
      </w:pPr>
      <w:r>
        <w:rPr>
          <w:b/>
          <w:u w:val="single"/>
        </w:rPr>
      </w:r>
    </w:p>
    <w:p>
      <w:pPr>
        <w:pStyle w:val="BodyTextFirstIndent"/>
        <w:rPr>
          <w:b/>
          <w:u w:val="single"/>
        </w:rPr>
      </w:pPr>
      <w:r>
        <w:rPr>
          <w:b/>
          <w:u w:val="single"/>
        </w:rPr>
      </w:r>
    </w:p>
    <w:p>
      <w:pPr>
        <w:pStyle w:val="BodyTextFirstIndent"/>
        <w:rPr/>
      </w:pPr>
      <w:r>
        <w:rPr>
          <w:b/>
        </w:rPr>
        <w:t>WHEREAS</w:t>
      </w:r>
      <w:r>
        <w:rPr/>
        <w:t xml:space="preserve"> the undersigned are parties to several Master Netting, Setoff, and Security Agreements (the "Agreements") between the undersigned (the "Enron Parties") and certain unrelated counterparties listed in Schedule 1 (collectively referred to as the "Counterparties");</w:t>
      </w:r>
    </w:p>
    <w:p>
      <w:pPr>
        <w:pStyle w:val="BodyTextFirstIndent"/>
        <w:rPr/>
      </w:pPr>
      <w:r>
        <w:rPr>
          <w:b/>
        </w:rPr>
        <w:t>AND WHEREAS</w:t>
      </w:r>
      <w:r>
        <w:rPr/>
        <w:t xml:space="preserve"> pursuant to the Agreements any "sum, amount or Obligation" (an "Obligation") payable by any Counterparty to any Enron Party may be set off against any Obligation payable by any Enron Party to any Counterparty and vice versa;</w:t>
      </w:r>
    </w:p>
    <w:p>
      <w:pPr>
        <w:pStyle w:val="BodyTextFirstIndent"/>
        <w:rPr/>
      </w:pPr>
      <w:r>
        <w:rPr/>
        <w:t>The undersigned agree as follows:</w:t>
      </w:r>
    </w:p>
    <w:p>
      <w:pPr>
        <w:pStyle w:val="StandardL1"/>
        <w:numPr>
          <w:ilvl w:val="0"/>
          <w:numId w:val="3"/>
        </w:numPr>
        <w:ind w:hanging="0" w:start="0"/>
        <w:rPr/>
      </w:pPr>
      <w:r>
        <w:rPr/>
        <w:t>If any Obligation payable by any particular Enron Party (the "Enron Debtor Party") is set off against any Obligation of a Counterparty payable to a different Enron Party (the "Enron Creditor Party"), then on such set off the Enron Debtor Party shall become indebted (the "Inter-Enron Debt") to the Enron Creditor Party in an amount equal to the amount so set off.</w:t>
      </w:r>
    </w:p>
    <w:p>
      <w:pPr>
        <w:pStyle w:val="StandardL1"/>
        <w:numPr>
          <w:ilvl w:val="0"/>
          <w:numId w:val="3"/>
        </w:numPr>
        <w:ind w:hanging="0" w:start="0"/>
        <w:rPr/>
      </w:pPr>
      <w:r>
        <w:rPr/>
        <w:t>The Inter-Enron Debt shall be deemed to have been incurred in connection with the Enron Debtor Party’s purchase of the underlying Obligation from the Enron Creditor Party for a sales price equal to the amount of such set off.</w:t>
      </w:r>
    </w:p>
    <w:p>
      <w:pPr>
        <w:pStyle w:val="StandardL1"/>
        <w:numPr>
          <w:ilvl w:val="0"/>
          <w:numId w:val="3"/>
        </w:numPr>
        <w:ind w:hanging="0" w:start="0"/>
        <w:rPr/>
      </w:pPr>
      <w:r>
        <w:rPr/>
        <w:t>In the event that there is Inter-Enron Debt owing by any particular Enron Party to a second Enron Party and concurrently there is any other Inter-Enron Debt owing by the second Enron Party to the particular Enron Party, then such Inter-Enron Debt obligations shall be netted and offset against each other with the resulting amount deemed to be the outstanding Inter-Enron Debt balance.</w:t>
      </w:r>
    </w:p>
    <w:p>
      <w:pPr>
        <w:pStyle w:val="StandardL1"/>
        <w:numPr>
          <w:ilvl w:val="0"/>
          <w:numId w:val="3"/>
        </w:numPr>
        <w:ind w:hanging="0" w:start="0"/>
        <w:rPr/>
      </w:pPr>
      <w:r>
        <w:rPr/>
        <w:t>All Inter-Enron Debt balances shall be invoiced on a monthly basis and settled within 30 days from time of invoice.  In no event shall the Inter-Enron Debt balance be outstanding more than 90 days. The Inter-Enron Debt shall be non-interest bearing.</w:t>
      </w:r>
    </w:p>
    <w:p>
      <w:pPr>
        <w:pStyle w:val="NumContinue"/>
        <w:rPr>
          <w:lang w:val="en-US"/>
        </w:rPr>
      </w:pPr>
      <w:r>
        <w:rPr>
          <w:lang w:val="en-US"/>
        </w:rPr>
      </w:r>
    </w:p>
    <w:p>
      <w:pPr>
        <w:pStyle w:val="Closing"/>
        <w:keepNext w:val="true"/>
        <w:keepLines/>
        <w:rPr/>
      </w:pPr>
      <w:r>
        <w:rPr/>
        <w:t>[ENRON PARTIES]</w:t>
      </w:r>
    </w:p>
    <w:p>
      <w:pPr>
        <w:pStyle w:val="Closing"/>
        <w:keepNext w:val="true"/>
        <w:keepLines/>
        <w:rPr/>
      </w:pPr>
      <w:r>
        <w:rPr/>
      </w:r>
    </w:p>
    <w:p>
      <w:pPr>
        <w:pStyle w:val="Closing"/>
        <w:keepNext w:val="true"/>
        <w:keepLines/>
        <w:rPr/>
      </w:pPr>
      <w:r>
        <w:rPr/>
      </w:r>
    </w:p>
    <w:p>
      <w:pPr>
        <w:pStyle w:val="Closing"/>
        <w:keepNext w:val="true"/>
        <w:keepLines/>
        <w:rPr>
          <w:b w:val="false"/>
        </w:rPr>
      </w:pPr>
      <w:r>
        <w:rPr>
          <w:b w:val="false"/>
        </w:rPr>
        <w:t>Enron North America Corp.</w:t>
      </w:r>
    </w:p>
    <w:p>
      <w:pPr>
        <w:pStyle w:val="Closing"/>
        <w:keepNext w:val="true"/>
        <w:keepLines/>
        <w:rPr>
          <w:b w:val="false"/>
        </w:rPr>
      </w:pPr>
      <w:r>
        <w:rPr>
          <w:b w:val="false"/>
        </w:rPr>
      </w:r>
    </w:p>
    <w:p>
      <w:pPr>
        <w:pStyle w:val="Closing"/>
        <w:keepNext w:val="true"/>
        <w:keepLines/>
        <w:rPr>
          <w:b w:val="false"/>
        </w:rPr>
      </w:pPr>
      <w:r>
        <w:rPr>
          <w:b w:val="false"/>
        </w:rPr>
      </w:r>
    </w:p>
    <w:p>
      <w:pPr>
        <w:pStyle w:val="Closing"/>
        <w:keepNext w:val="true"/>
        <w:keepLines/>
        <w:rPr/>
      </w:pPr>
      <w:r>
        <w:rPr>
          <w:b w:val="false"/>
        </w:rPr>
        <w:t>Per:</w:t>
      </w:r>
      <w:r>
        <w:rPr>
          <w:b w:val="false"/>
          <w:u w:val="single"/>
        </w:rPr>
        <w:tab/>
        <w:tab/>
        <w:tab/>
        <w:tab/>
        <w:tab/>
        <w:tab/>
      </w:r>
    </w:p>
    <w:p>
      <w:pPr>
        <w:pStyle w:val="Closing"/>
        <w:keepNext w:val="true"/>
        <w:keepLines/>
        <w:rPr>
          <w:b w:val="false"/>
          <w:u w:val="single"/>
        </w:rPr>
      </w:pPr>
      <w:r>
        <w:rPr>
          <w:b w:val="false"/>
          <w:u w:val="single"/>
        </w:rPr>
      </w:r>
    </w:p>
    <w:p>
      <w:pPr>
        <w:pStyle w:val="Closing"/>
        <w:keepNext w:val="true"/>
        <w:keepLines/>
        <w:rPr>
          <w:b w:val="false"/>
          <w:u w:val="single"/>
        </w:rPr>
      </w:pPr>
      <w:r>
        <w:rPr>
          <w:b w:val="false"/>
          <w:u w:val="single"/>
        </w:rPr>
      </w:r>
    </w:p>
    <w:p>
      <w:pPr>
        <w:pStyle w:val="Closing"/>
        <w:keepNext w:val="true"/>
        <w:keepLines/>
        <w:rPr>
          <w:b w:val="false"/>
        </w:rPr>
      </w:pPr>
      <w:r>
        <w:rPr>
          <w:b w:val="false"/>
        </w:rPr>
        <w:t>Enron Power Marketing, Inc.</w:t>
      </w:r>
    </w:p>
    <w:p>
      <w:pPr>
        <w:pStyle w:val="Closing"/>
        <w:keepNext w:val="true"/>
        <w:keepLines/>
        <w:rPr>
          <w:b w:val="false"/>
        </w:rPr>
      </w:pPr>
      <w:r>
        <w:rPr>
          <w:b w:val="false"/>
        </w:rPr>
      </w:r>
    </w:p>
    <w:p>
      <w:pPr>
        <w:pStyle w:val="Closing"/>
        <w:keepNext w:val="true"/>
        <w:keepLines/>
        <w:rPr>
          <w:b w:val="false"/>
        </w:rPr>
      </w:pPr>
      <w:r>
        <w:rPr>
          <w:b w:val="false"/>
        </w:rPr>
      </w:r>
    </w:p>
    <w:p>
      <w:pPr>
        <w:pStyle w:val="Closing"/>
        <w:keepNext w:val="true"/>
        <w:keepLines/>
        <w:rPr>
          <w:u w:val="single"/>
        </w:rPr>
      </w:pPr>
      <w:r>
        <w:rPr>
          <w:b w:val="false"/>
        </w:rPr>
        <w:t>Per:</w:t>
      </w:r>
      <w:r>
        <w:rPr>
          <w:b w:val="false"/>
          <w:u w:val="single"/>
        </w:rPr>
        <w:tab/>
        <w:tab/>
        <w:tab/>
        <w:tab/>
        <w:tab/>
        <w:tab/>
      </w:r>
    </w:p>
    <w:p>
      <w:pPr>
        <w:pStyle w:val="Closing"/>
        <w:keepNext w:val="true"/>
        <w:keepLines/>
        <w:rPr>
          <w:u w:val="single"/>
        </w:rPr>
      </w:pPr>
      <w:r>
        <w:rPr>
          <w:u w:val="single"/>
        </w:rPr>
      </w:r>
    </w:p>
    <w:p>
      <w:pPr>
        <w:pStyle w:val="Closing"/>
        <w:keepNext w:val="true"/>
        <w:keepLines/>
        <w:rPr>
          <w:b w:val="false"/>
          <w:bCs/>
        </w:rPr>
      </w:pPr>
      <w:r>
        <w:rPr>
          <w:b w:val="false"/>
          <w:bCs/>
        </w:rPr>
        <w:t>Enron Canada Corp.</w:t>
      </w:r>
    </w:p>
    <w:p>
      <w:pPr>
        <w:pStyle w:val="Closing"/>
        <w:keepNext w:val="true"/>
        <w:keepLines/>
        <w:rPr>
          <w:b w:val="false"/>
          <w:bCs/>
        </w:rPr>
      </w:pPr>
      <w:r>
        <w:rPr>
          <w:b w:val="false"/>
          <w:bCs/>
        </w:rPr>
      </w:r>
    </w:p>
    <w:p>
      <w:pPr>
        <w:pStyle w:val="Closing"/>
        <w:keepNext w:val="true"/>
        <w:keepLines/>
        <w:rPr>
          <w:b w:val="false"/>
          <w:bCs/>
        </w:rPr>
      </w:pPr>
      <w:r>
        <w:rPr>
          <w:b w:val="false"/>
          <w:bCs/>
        </w:rPr>
      </w:r>
    </w:p>
    <w:p>
      <w:pPr>
        <w:pStyle w:val="Closing"/>
        <w:keepNext w:val="true"/>
        <w:keepLines/>
        <w:rPr/>
      </w:pPr>
      <w:r>
        <w:rPr>
          <w:b w:val="false"/>
        </w:rPr>
        <w:t>Per:</w:t>
      </w:r>
      <w:r>
        <w:rPr>
          <w:b w:val="false"/>
          <w:u w:val="single"/>
        </w:rPr>
        <w:tab/>
        <w:tab/>
        <w:tab/>
        <w:tab/>
        <w:tab/>
        <w:tab/>
      </w:r>
    </w:p>
    <w:p>
      <w:pPr>
        <w:pStyle w:val="Closing"/>
        <w:keepNext w:val="true"/>
        <w:keepLines/>
        <w:rPr>
          <w:b w:val="false"/>
          <w:bCs/>
          <w:u w:val="single"/>
        </w:rPr>
      </w:pPr>
      <w:r>
        <w:rPr>
          <w:b w:val="false"/>
          <w:bCs/>
          <w:u w:val="single"/>
        </w:rPr>
      </w:r>
    </w:p>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30385635.1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docVars>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bidi="ar-SA" w:eastAsia="zh-C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i w:val="false"/>
      <w:caps/>
      <w:strike w:val="false"/>
      <w:dstrike w:val="false"/>
      <w:outline w:val="false"/>
      <w:shadow w:val="false"/>
      <w:vanish w:val="false"/>
      <w:color w:val="auto"/>
      <w:position w:val="0"/>
      <w:sz w:val="24"/>
      <w:u w:val="none"/>
      <w:vertAlign w:val="baseline"/>
    </w:rPr>
  </w:style>
  <w:style w:type="character" w:styleId="WW8Num1z1">
    <w:name w:val="WW8Num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character" w:styleId="zzmpTCEntryL1">
    <w:name w:val="zzmpTCEntryL1"/>
    <w:basedOn w:val="DefaultParagraphFont"/>
    <w:qFormat/>
    <w:rPr>
      <w:color w:val="0000FF"/>
    </w:rPr>
  </w:style>
  <w:style w:type="character" w:styleId="zzmpTCEntryL2">
    <w:name w:val="zzmpTCEntryL2"/>
    <w:basedOn w:val="DefaultParagraphFont"/>
    <w:qFormat/>
    <w:rPr>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b/>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WillL1">
    <w:name w:val="Will_L1"/>
    <w:basedOn w:val="Normal"/>
    <w:next w:val="Normal"/>
    <w:qFormat/>
    <w:pPr>
      <w:keepNext w:val="true"/>
      <w:numPr>
        <w:ilvl w:val="0"/>
        <w:numId w:val="2"/>
      </w:numPr>
      <w:spacing w:before="0" w:after="240"/>
    </w:pPr>
    <w:rPr>
      <w:lang w:val="en-US"/>
    </w:rPr>
  </w:style>
  <w:style w:type="paragraph" w:styleId="WillL2">
    <w:name w:val="Will_L2"/>
    <w:basedOn w:val="WillL1"/>
    <w:next w:val="Normal"/>
    <w:qFormat/>
    <w:pPr>
      <w:keepNext w:val="false"/>
      <w:numPr>
        <w:ilvl w:val="0"/>
        <w:numId w:val="2"/>
      </w:numPr>
    </w:pPr>
    <w:rPr/>
  </w:style>
  <w:style w:type="paragraph" w:styleId="WillL3">
    <w:name w:val="Will_L3"/>
    <w:basedOn w:val="WillL2"/>
    <w:next w:val="Normal"/>
    <w:qFormat/>
    <w:pPr>
      <w:numPr>
        <w:ilvl w:val="0"/>
        <w:numId w:val="2"/>
      </w:numPr>
    </w:pPr>
    <w:rPr/>
  </w:style>
  <w:style w:type="paragraph" w:styleId="WillL4">
    <w:name w:val="Will_L4"/>
    <w:basedOn w:val="WillL3"/>
    <w:next w:val="Normal"/>
    <w:qFormat/>
    <w:pPr>
      <w:numPr>
        <w:ilvl w:val="0"/>
        <w:numId w:val="2"/>
      </w:numPr>
    </w:pPr>
    <w:rPr/>
  </w:style>
  <w:style w:type="paragraph" w:styleId="WillL5">
    <w:name w:val="Will_L5"/>
    <w:basedOn w:val="WillL4"/>
    <w:next w:val="Normal"/>
    <w:qFormat/>
    <w:pPr>
      <w:numPr>
        <w:ilvl w:val="0"/>
        <w:numId w:val="2"/>
      </w:numPr>
    </w:pPr>
    <w:rPr/>
  </w:style>
  <w:style w:type="paragraph" w:styleId="NumContinue">
    <w:name w:val="Num Continue"/>
    <w:basedOn w:val="BodyText"/>
    <w:qFormat/>
    <w:pPr>
      <w:jc w:val="start"/>
    </w:pPr>
    <w:rPr/>
  </w:style>
  <w:style w:type="paragraph" w:styleId="StandardL1">
    <w:name w:val="Standard_L1"/>
    <w:basedOn w:val="Normal"/>
    <w:next w:val="NumContinue"/>
    <w:qFormat/>
    <w:pPr>
      <w:numPr>
        <w:ilvl w:val="0"/>
        <w:numId w:val="3"/>
      </w:numPr>
      <w:spacing w:before="0" w:after="240"/>
      <w:outlineLvl w:val="0"/>
    </w:pPr>
    <w:rPr>
      <w:lang w:val="en-US"/>
    </w:rPr>
  </w:style>
  <w:style w:type="paragraph" w:styleId="StandardL2">
    <w:name w:val="Standard_L2"/>
    <w:basedOn w:val="StandardL1"/>
    <w:next w:val="NumContinue"/>
    <w:qFormat/>
    <w:pPr>
      <w:numPr>
        <w:ilvl w:val="0"/>
        <w:numId w:val="3"/>
      </w:numPr>
      <w:outlineLvl w:val="1"/>
    </w:pPr>
    <w:rPr/>
  </w:style>
  <w:style w:type="paragraph" w:styleId="StandardL3">
    <w:name w:val="Standard_L3"/>
    <w:basedOn w:val="StandardL2"/>
    <w:next w:val="NumContinue"/>
    <w:qFormat/>
    <w:pPr>
      <w:numPr>
        <w:ilvl w:val="0"/>
        <w:numId w:val="3"/>
      </w:numPr>
      <w:outlineLvl w:val="2"/>
    </w:pPr>
    <w:rPr/>
  </w:style>
  <w:style w:type="paragraph" w:styleId="StandardL4">
    <w:name w:val="Standard_L4"/>
    <w:basedOn w:val="StandardL3"/>
    <w:next w:val="NumContinue"/>
    <w:qFormat/>
    <w:pPr>
      <w:numPr>
        <w:ilvl w:val="0"/>
        <w:numId w:val="3"/>
      </w:numPr>
      <w:outlineLvl w:val="3"/>
    </w:pPr>
    <w:rPr/>
  </w:style>
  <w:style w:type="paragraph" w:styleId="StandardL5">
    <w:name w:val="Standard_L5"/>
    <w:basedOn w:val="StandardL4"/>
    <w:next w:val="NumContinue"/>
    <w:qFormat/>
    <w:pPr>
      <w:numPr>
        <w:ilvl w:val="0"/>
        <w:numId w:val="3"/>
      </w:numPr>
      <w:outlineLvl w:val="4"/>
    </w:pPr>
    <w:rPr/>
  </w:style>
  <w:style w:type="paragraph" w:styleId="StandardL6">
    <w:name w:val="Standard_L6"/>
    <w:basedOn w:val="StandardL5"/>
    <w:next w:val="NumContinue"/>
    <w:qFormat/>
    <w:pPr>
      <w:numPr>
        <w:ilvl w:val="0"/>
        <w:numId w:val="3"/>
      </w:numPr>
      <w:outlineLvl w:val="5"/>
    </w:pPr>
    <w:rPr/>
  </w:style>
  <w:style w:type="paragraph" w:styleId="StandardL7">
    <w:name w:val="Standard_L7"/>
    <w:basedOn w:val="StandardL6"/>
    <w:next w:val="NumContinue"/>
    <w:qFormat/>
    <w:pPr>
      <w:numPr>
        <w:ilvl w:val="0"/>
        <w:numId w:val="3"/>
      </w:numPr>
      <w:outlineLvl w:val="6"/>
    </w:pPr>
    <w:rPr/>
  </w:style>
  <w:style w:type="paragraph" w:styleId="StandardL8">
    <w:name w:val="Standard_L8"/>
    <w:basedOn w:val="StandardL7"/>
    <w:next w:val="NumContinue"/>
    <w:qFormat/>
    <w:pPr>
      <w:numPr>
        <w:ilvl w:val="0"/>
        <w:numId w:val="3"/>
      </w:numPr>
      <w:outlineLvl w:val="7"/>
    </w:pPr>
    <w:rPr/>
  </w:style>
  <w:style w:type="paragraph" w:styleId="StandardL9">
    <w:name w:val="Standard_L9"/>
    <w:basedOn w:val="StandardL8"/>
    <w:next w:val="NumContinue"/>
    <w:qFormat/>
    <w:pPr>
      <w:numPr>
        <w:ilvl w:val="0"/>
        <w:numId w:val="3"/>
      </w:numPr>
      <w:outlineLvl w:val="8"/>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2001-10-30T17:26:00Z</dcterms:created>
  <dc:creator>egf</dc:creator>
  <dc:description/>
  <dc:language>en-CA</dc:language>
  <cp:lastModifiedBy>mclark</cp:lastModifiedBy>
  <cp:lastPrinted>2001-10-30T18:45:00Z</cp:lastPrinted>
  <dcterms:modified xsi:type="dcterms:W3CDTF">2001-10-31T13:27:00Z</dcterms:modified>
  <cp:revision>12</cp:revision>
  <dc:subject/>
  <dc:title>ACKNOWLEDGMENT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30385635.1</vt:lpwstr>
  </property>
</Properties>
</file>