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LIST OF CREDIT ISSUES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both"/>
        <w:rPr/>
      </w:pPr>
      <w:r>
        <w:rPr/>
        <w:t>1.</w:t>
        <w:tab/>
      </w:r>
      <w:r>
        <w:rPr>
          <w:b/>
        </w:rPr>
        <w:t>Independent Amount Issue-</w:t>
      </w:r>
      <w:r>
        <w:rPr/>
        <w:t xml:space="preserve"> discuss/clarify how it works and the need for credit to specify on the credit worksheet whether or not this amount should ever be returned to the Counterparty.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  <w:t>2.</w:t>
        <w:tab/>
      </w:r>
      <w:r>
        <w:rPr>
          <w:b/>
        </w:rPr>
        <w:t>Canadian Law Issues –</w:t>
      </w:r>
      <w:r>
        <w:rPr/>
        <w:t xml:space="preserve"> review collateral rules in Canada.  Discuss when threshold should be expressed in Canadian dollars.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BodyText"/>
        <w:jc w:val="both"/>
        <w:rPr/>
      </w:pPr>
      <w:r>
        <w:rPr/>
        <w:t>3.</w:t>
        <w:tab/>
      </w:r>
      <w:r>
        <w:rPr>
          <w:b/>
        </w:rPr>
        <w:t>Setoff Issues –</w:t>
      </w:r>
      <w:r>
        <w:rPr/>
        <w:t xml:space="preserve"> Discuss parameters for giving a counterparty credit for ECT’s ability to setoff physical and financial trades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4.</w:t>
        <w:tab/>
      </w:r>
      <w:r>
        <w:rPr>
          <w:b/>
          <w:sz w:val="24"/>
        </w:rPr>
        <w:t>Credit Worksheets –</w:t>
      </w:r>
      <w:r>
        <w:rPr>
          <w:sz w:val="24"/>
        </w:rPr>
        <w:t xml:space="preserve"> Discuss whether any revisions should be made.  Discuss when a completed worksheet is needed.  Discuss who is the contact person on “structured” transactions and procedures to follow for credit approval on these transactions. </w:t>
      </w:r>
      <w:r>
        <w:rPr>
          <w:b/>
        </w:rPr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5.</w:t>
        <w:tab/>
      </w:r>
      <w:r>
        <w:rPr>
          <w:b/>
          <w:sz w:val="24"/>
        </w:rPr>
        <w:t>Exposure/Termination Amount Calculations –</w:t>
      </w:r>
      <w:r>
        <w:rPr>
          <w:sz w:val="24"/>
        </w:rPr>
        <w:t xml:space="preserve"> review procedures for terminating contracts and calculating termination amounts.  Can we set up a meeting with a trader to walk through this calculation?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6.</w:t>
      </w:r>
      <w:r>
        <w:rPr>
          <w:b/>
          <w:sz w:val="24"/>
        </w:rPr>
        <w:tab/>
        <w:t>Letters of Credit –</w:t>
      </w:r>
      <w:r>
        <w:rPr>
          <w:sz w:val="24"/>
        </w:rPr>
        <w:t xml:space="preserve"> discuss drawing events.  Discuss whether form should now adopt new rules for standbys.  Discuss review process for incoming letters of credit and whether legal should be involved.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7.</w:t>
        <w:tab/>
      </w:r>
      <w:r>
        <w:rPr>
          <w:b/>
          <w:sz w:val="24"/>
        </w:rPr>
        <w:t xml:space="preserve">Material Adverse Change </w:t>
      </w:r>
      <w:r>
        <w:rPr>
          <w:sz w:val="24"/>
        </w:rPr>
        <w:t>– discuss when this should be used in situations where a counterparty’s exposure threshold is 0.  In the Master Agreement form, for example, a MAC is usually a trigger for when a counterparty can no longer hold collateral.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8.</w:t>
        <w:tab/>
      </w:r>
      <w:r>
        <w:rPr>
          <w:b/>
          <w:sz w:val="24"/>
        </w:rPr>
        <w:t xml:space="preserve">Credit Support Annex </w:t>
      </w:r>
      <w:r>
        <w:rPr>
          <w:sz w:val="24"/>
        </w:rPr>
        <w:t>– discuss what happens when a counterparty won’t agree to a CSA.  Discuss use of “ratings triggered” MAC event of default</w:t>
      </w:r>
      <w:r>
        <w:rPr>
          <w:b/>
          <w:sz w:val="24"/>
        </w:rPr>
        <w:t>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Guaranty – </w:t>
      </w:r>
      <w:r>
        <w:rPr>
          <w:sz w:val="24"/>
        </w:rPr>
        <w:t xml:space="preserve">discuss Enron’s position on offering up guarantees to counterparties. 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</w:rPr>
      </w:pPr>
      <w:r>
        <w:rPr>
          <w:sz w:val="24"/>
        </w:rPr>
        <w:t>10.</w:t>
        <w:tab/>
      </w:r>
      <w:r>
        <w:rPr>
          <w:b/>
          <w:sz w:val="24"/>
        </w:rPr>
        <w:t>Specified Transaction –</w:t>
      </w:r>
      <w:r>
        <w:rPr>
          <w:sz w:val="24"/>
        </w:rPr>
        <w:t xml:space="preserve"> discuss use of this in ISDA Master Agreement schedule.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1999-08-20T12:31:00Z</dcterms:created>
  <dc:creator>cstclai</dc:creator>
  <dc:description/>
  <dc:language>en-CA</dc:language>
  <cp:lastModifiedBy>cstclai</cp:lastModifiedBy>
  <cp:lastPrinted>1999-09-09T15:30:00Z</cp:lastPrinted>
  <dcterms:modified xsi:type="dcterms:W3CDTF">1999-09-09T18:00:00Z</dcterms:modified>
  <cp:revision>6</cp:revision>
  <dc:subject/>
  <dc:title/>
</cp:coreProperties>
</file>