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4"/>
        <w:ind w:hanging="0" w:start="0"/>
        <w:jc w:val="both"/>
        <w:rPr>
          <w:sz w:val="22"/>
        </w:rPr>
      </w:pPr>
      <w:r>
        <w:rPr>
          <w:sz w:val="22"/>
        </w:rPr>
      </w:r>
    </w:p>
    <w:p>
      <w:pPr>
        <w:pStyle w:val="Header"/>
        <w:tabs>
          <w:tab w:val="clear" w:pos="4320"/>
          <w:tab w:val="clear" w:pos="8640"/>
          <w:tab w:val="left" w:pos="142" w:leader="none"/>
          <w:tab w:val="left" w:pos="993"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142" w:leader="none"/>
          <w:tab w:val="left" w:pos="993" w:leader="none"/>
        </w:tabs>
        <w:spacing w:before="60" w:after="60"/>
        <w:jc w:val="both"/>
        <w:rPr/>
      </w:pPr>
      <w:r>
        <w:rPr>
          <w:rFonts w:cs="Times New Roman" w:ascii="Times New Roman" w:hAnsi="Times New Roman"/>
          <w:b/>
          <w:sz w:val="22"/>
        </w:rPr>
        <w:t>To:</w:t>
      </w:r>
      <w:r>
        <w:rPr>
          <w:rFonts w:cs="Times New Roman" w:ascii="Times New Roman" w:hAnsi="Times New Roman"/>
          <w:sz w:val="22"/>
        </w:rPr>
        <w:tab/>
        <w:t>Jeff Skilling</w:t>
        <w:tab/>
        <w:t xml:space="preserve"> </w:t>
        <w:tab/>
      </w:r>
    </w:p>
    <w:p>
      <w:pPr>
        <w:pStyle w:val="Header"/>
        <w:tabs>
          <w:tab w:val="clear" w:pos="4320"/>
          <w:tab w:val="clear" w:pos="8640"/>
          <w:tab w:val="left" w:pos="142" w:leader="none"/>
          <w:tab w:val="left" w:pos="993" w:leader="none"/>
        </w:tabs>
        <w:spacing w:before="60" w:after="60"/>
        <w:jc w:val="both"/>
        <w:rPr>
          <w:rFonts w:ascii="Times New Roman" w:hAnsi="Times New Roman" w:cs="Times New Roman"/>
          <w:sz w:val="22"/>
        </w:rPr>
      </w:pPr>
      <w:r>
        <w:rPr>
          <w:rFonts w:cs="Times New Roman" w:ascii="Times New Roman" w:hAnsi="Times New Roman"/>
          <w:sz w:val="22"/>
        </w:rPr>
        <w:tab/>
        <w:tab/>
        <w:t>Rick Buy</w:t>
        <w:tab/>
        <w:tab/>
      </w:r>
    </w:p>
    <w:p>
      <w:pPr>
        <w:pStyle w:val="Normal"/>
        <w:tabs>
          <w:tab w:val="left" w:pos="142" w:leader="none"/>
          <w:tab w:val="left" w:pos="540" w:leader="none"/>
          <w:tab w:val="left" w:pos="993" w:leader="none"/>
        </w:tabs>
        <w:spacing w:before="60" w:after="60"/>
        <w:jc w:val="both"/>
        <w:rPr/>
      </w:pPr>
      <w:r>
        <w:rPr>
          <w:rFonts w:cs="Times New Roman" w:ascii="Times New Roman" w:hAnsi="Times New Roman"/>
          <w:b/>
          <w:sz w:val="22"/>
        </w:rPr>
        <w:t>From:</w:t>
      </w:r>
      <w:r>
        <w:rPr>
          <w:rFonts w:cs="Times New Roman" w:ascii="Times New Roman" w:hAnsi="Times New Roman"/>
          <w:sz w:val="22"/>
        </w:rPr>
        <w:tab/>
        <w:t>Bryan Seyfreid</w:t>
      </w:r>
    </w:p>
    <w:p>
      <w:pPr>
        <w:pStyle w:val="Normal"/>
        <w:tabs>
          <w:tab w:val="left" w:pos="142" w:leader="none"/>
          <w:tab w:val="left" w:pos="540" w:leader="none"/>
          <w:tab w:val="left" w:pos="993" w:leader="none"/>
        </w:tabs>
        <w:spacing w:before="60" w:after="60"/>
        <w:jc w:val="both"/>
        <w:rPr>
          <w:rFonts w:ascii="Times New Roman" w:hAnsi="Times New Roman" w:cs="Times New Roman"/>
          <w:b/>
          <w:sz w:val="22"/>
        </w:rPr>
      </w:pPr>
      <w:r>
        <w:rPr>
          <w:rFonts w:cs="Times New Roman" w:ascii="Times New Roman" w:hAnsi="Times New Roman"/>
          <w:b/>
          <w:sz w:val="22"/>
        </w:rPr>
        <w:t>Date:</w:t>
      </w:r>
      <w:r>
        <w:rPr>
          <w:rFonts w:cs="Times New Roman" w:ascii="Times New Roman" w:hAnsi="Times New Roman"/>
          <w:sz w:val="22"/>
        </w:rPr>
        <w:tab/>
        <w:tab/>
        <w:t>December 2000</w:t>
      </w:r>
    </w:p>
    <w:p>
      <w:pPr>
        <w:pStyle w:val="Normal"/>
        <w:tabs>
          <w:tab w:val="left" w:pos="142" w:leader="none"/>
          <w:tab w:val="left" w:pos="540" w:leader="none"/>
          <w:tab w:val="left" w:pos="993" w:leader="none"/>
        </w:tabs>
        <w:spacing w:before="60" w:after="60"/>
        <w:jc w:val="both"/>
        <w:rPr/>
      </w:pPr>
      <w:r>
        <w:rPr>
          <w:rFonts w:cs="Times New Roman" w:ascii="Times New Roman" w:hAnsi="Times New Roman"/>
          <w:b/>
          <w:sz w:val="22"/>
        </w:rPr>
        <w:t>Subject:</w:t>
      </w:r>
      <w:r>
        <w:rPr>
          <w:rFonts w:cs="Times New Roman" w:ascii="Times New Roman" w:hAnsi="Times New Roman"/>
          <w:sz w:val="22"/>
        </w:rPr>
        <w:tab/>
        <w:t xml:space="preserve">Request for  Credit Trading Permanent Limits </w:t>
      </w:r>
    </w:p>
    <w:p>
      <w:pPr>
        <w:pStyle w:val="Normal"/>
        <w:tabs>
          <w:tab w:val="left" w:pos="142" w:leader="none"/>
          <w:tab w:val="left" w:pos="540" w:leader="none"/>
          <w:tab w:val="left" w:pos="993" w:leader="none"/>
        </w:tabs>
        <w:spacing w:before="60" w:after="60"/>
        <w:jc w:val="both"/>
        <w:rPr>
          <w:rFonts w:ascii="Times New Roman" w:hAnsi="Times New Roman" w:cs="Times New Roman"/>
          <w:sz w:val="22"/>
        </w:rPr>
      </w:pPr>
      <w:r>
        <w:rPr>
          <w:rFonts w:cs="Times New Roman" w:ascii="Times New Roman" w:hAnsi="Times New Roman"/>
          <w:sz w:val="22"/>
        </w:rPr>
        <w:tab/>
        <w:tab/>
      </w:r>
    </w:p>
    <w:p>
      <w:pPr>
        <w:pStyle w:val="Heading1"/>
        <w:pBdr>
          <w:top w:val="single" w:sz="18" w:space="1" w:color="000000"/>
        </w:pBdr>
        <w:ind w:hanging="0" w:start="0"/>
        <w:jc w:val="both"/>
        <w:rPr>
          <w:rFonts w:ascii="Times New Roman" w:hAnsi="Times New Roman" w:cs="Times New Roman"/>
          <w:b w:val="false"/>
          <w:sz w:val="22"/>
        </w:rPr>
      </w:pPr>
      <w:r>
        <w:rPr>
          <w:rFonts w:cs="Times New Roman"/>
          <w:b w:val="false"/>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Type of Trading Limit Request</w:t>
      </w:r>
    </w:p>
    <w:p>
      <w:pPr>
        <w:pStyle w:val="Normal"/>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3"/>
        </w:numPr>
        <w:jc w:val="both"/>
        <w:rPr>
          <w:rFonts w:ascii="Times New Roman" w:hAnsi="Times New Roman" w:cs="Times New Roman"/>
          <w:sz w:val="22"/>
          <w:u w:val="single"/>
        </w:rPr>
      </w:pPr>
      <w:r>
        <w:rPr>
          <w:rFonts w:cs="Times New Roman" w:ascii="Times New Roman" w:hAnsi="Times New Roman"/>
          <w:sz w:val="22"/>
        </w:rPr>
        <w:t>Permanent Policy Limits</w:t>
        <w:tab/>
        <w:tab/>
        <w:tab/>
        <w:tab/>
      </w:r>
      <w:r>
        <w:rPr>
          <w:rFonts w:cs="Times New Roman" w:ascii="Times New Roman" w:hAnsi="Times New Roman"/>
          <w:sz w:val="22"/>
          <w:u w:val="single"/>
        </w:rPr>
        <w:t>X</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Products:</w:t>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3"/>
        </w:numPr>
        <w:rPr>
          <w:rFonts w:ascii="Times New Roman" w:hAnsi="Times New Roman" w:cs="Times New Roman"/>
          <w:sz w:val="22"/>
        </w:rPr>
      </w:pPr>
      <w:r>
        <w:rPr>
          <w:rFonts w:cs="Times New Roman" w:ascii="Times New Roman" w:hAnsi="Times New Roman"/>
          <w:sz w:val="22"/>
        </w:rPr>
        <w:t>Primary Products: Credit Derivatives and Corporate Bonds (Debt Trading commodity group is now combined with Credit Derivatives and comprises the Credit Trading Commodity Group to which this application applies.  Note: Convertible Arbitrage trading is not part of Credit Trading.)</w:t>
        <w:br/>
      </w:r>
    </w:p>
    <w:p>
      <w:pPr>
        <w:pStyle w:val="Normal"/>
        <w:numPr>
          <w:ilvl w:val="0"/>
          <w:numId w:val="3"/>
        </w:numPr>
        <w:rPr>
          <w:rFonts w:ascii="Times New Roman" w:hAnsi="Times New Roman" w:cs="Times New Roman"/>
          <w:sz w:val="22"/>
        </w:rPr>
      </w:pPr>
      <w:r>
        <w:rPr>
          <w:rFonts w:cs="Times New Roman" w:ascii="Times New Roman" w:hAnsi="Times New Roman"/>
          <w:sz w:val="22"/>
        </w:rPr>
        <w:t>Potential Risk Management Products: Government Securities, Interest Rate Derivatives, Equity Derivatives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2160" w:start="2160" w:end="0"/>
        <w:jc w:val="both"/>
        <w:rPr>
          <w:b/>
          <w:sz w:val="22"/>
          <w:u w:val="single"/>
        </w:rPr>
      </w:pPr>
      <w:r>
        <w:rPr>
          <w:rFonts w:cs="Times New Roman" w:ascii="Times New Roman" w:hAnsi="Times New Roman"/>
          <w:b/>
          <w:sz w:val="22"/>
          <w:u w:val="single"/>
        </w:rPr>
        <w:t>Background:</w:t>
      </w:r>
    </w:p>
    <w:p>
      <w:pPr>
        <w:pStyle w:val="Normal"/>
        <w:ind w:hanging="2160" w:start="2160" w:end="0"/>
        <w:jc w:val="both"/>
        <w:rPr>
          <w:b/>
          <w:sz w:val="20"/>
          <w:u w:val="single"/>
        </w:rPr>
      </w:pPr>
      <w:r>
        <w:rPr>
          <w:b/>
          <w:sz w:val="20"/>
          <w:u w:val="single"/>
        </w:rPr>
      </w:r>
    </w:p>
    <w:p>
      <w:pPr>
        <w:pStyle w:val="Normal"/>
        <w:numPr>
          <w:ilvl w:val="0"/>
          <w:numId w:val="6"/>
        </w:numPr>
        <w:jc w:val="both"/>
        <w:rPr>
          <w:sz w:val="20"/>
        </w:rPr>
      </w:pPr>
      <w:r>
        <w:rPr>
          <w:sz w:val="20"/>
        </w:rPr>
        <w:t>The primary products are designed to provide customers with credit risk management solutions and to enable us to manage the credit risk in our portfolio.  Additionally, we will actively participate in the growing synthetic CDO (collateralised debt obligation) market which is designed to capitalize on the convergence between capital and insurance markets.</w:t>
      </w:r>
    </w:p>
    <w:p>
      <w:pPr>
        <w:pStyle w:val="Normal"/>
        <w:numPr>
          <w:ilvl w:val="0"/>
          <w:numId w:val="6"/>
        </w:numPr>
        <w:jc w:val="both"/>
        <w:rPr>
          <w:sz w:val="20"/>
        </w:rPr>
      </w:pPr>
      <w:r>
        <w:rPr>
          <w:sz w:val="20"/>
        </w:rPr>
        <w:t>The current market is about $1 Trillion in notional credit risk transacted.  To date, it is predominately an interbank market to facilitate the optimisation of regulatory capital.  We intend to extend this market to corporate endusers who increasingly need variations of the existing products to manage the credit risk associated with their day to day activities.</w:t>
      </w:r>
    </w:p>
    <w:p>
      <w:pPr>
        <w:pStyle w:val="Normal"/>
        <w:numPr>
          <w:ilvl w:val="0"/>
          <w:numId w:val="6"/>
        </w:numPr>
        <w:jc w:val="both"/>
        <w:rPr>
          <w:sz w:val="20"/>
        </w:rPr>
      </w:pPr>
      <w:r>
        <w:rPr>
          <w:sz w:val="20"/>
        </w:rPr>
        <w:t xml:space="preserve">The market is approximately 5 years old and just beginning to get traction.  It is easy to forecast 25% annual growth and potentially higher as the enduser market is developed. </w:t>
      </w:r>
    </w:p>
    <w:p>
      <w:pPr>
        <w:pStyle w:val="Normal"/>
        <w:numPr>
          <w:ilvl w:val="0"/>
          <w:numId w:val="6"/>
        </w:numPr>
        <w:jc w:val="both"/>
        <w:rPr>
          <w:sz w:val="20"/>
        </w:rPr>
      </w:pPr>
      <w:r>
        <w:rPr>
          <w:sz w:val="20"/>
        </w:rPr>
        <w:t>There are currently about 10 large buyers and sellers willing to actively participate on both sides of the credit derivatives market.  There are an increasing number of buyers of synthetic credit risk, particularly the credit markets and increasingly true capital market investors looking for yield pick up.  Sellers of credit risk have traditionally been those institutions which are regulated and therefore have an incentive to pay for credit protection instead of self insuring.  Sellers of credit risk increasingly include corporates who are active vendor financers or who are in markets with volatile undelying prices.</w:t>
      </w:r>
    </w:p>
    <w:p>
      <w:pPr>
        <w:pStyle w:val="Normal"/>
        <w:numPr>
          <w:ilvl w:val="0"/>
          <w:numId w:val="6"/>
        </w:numPr>
        <w:jc w:val="both"/>
        <w:rPr>
          <w:sz w:val="20"/>
        </w:rPr>
      </w:pPr>
      <w:r>
        <w:rPr>
          <w:sz w:val="20"/>
        </w:rPr>
        <w:t>Current market share in the credit derivative markets is highly concentrated in a few of the large sophisticated investment banks.</w:t>
      </w:r>
    </w:p>
    <w:p>
      <w:pPr>
        <w:pStyle w:val="Normal"/>
        <w:tabs>
          <w:tab w:val="clear" w:pos="540"/>
          <w:tab w:val="left" w:pos="0" w:leader="none"/>
          <w:tab w:val="left" w:pos="4320" w:leader="none"/>
        </w:tabs>
        <w:ind w:hanging="3240" w:start="3240" w:end="0"/>
        <w:jc w:val="both"/>
        <w:rPr>
          <w:rFonts w:ascii="Times New Roman" w:hAnsi="Times New Roman" w:cs="Times New Roman"/>
          <w:b/>
          <w:sz w:val="22"/>
          <w:u w:val="single"/>
        </w:rPr>
      </w:pPr>
      <w:r>
        <w:rPr>
          <w:rFonts w:cs="Times New Roman" w:ascii="Times New Roman" w:hAnsi="Times New Roman"/>
          <w:b/>
          <w:sz w:val="22"/>
          <w:u w:val="single"/>
        </w:rPr>
      </w:r>
    </w:p>
    <w:p>
      <w:pPr>
        <w:pStyle w:val="Normal"/>
        <w:tabs>
          <w:tab w:val="left" w:pos="54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b/>
          <w:sz w:val="22"/>
          <w:u w:val="single"/>
        </w:rPr>
        <w:t>Strategy:</w:t>
      </w:r>
    </w:p>
    <w:p>
      <w:pPr>
        <w:pStyle w:val="Normal"/>
        <w:tabs>
          <w:tab w:val="left" w:pos="54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numPr>
          <w:ilvl w:val="0"/>
          <w:numId w:val="7"/>
        </w:numPr>
        <w:tabs>
          <w:tab w:val="left" w:pos="540" w:leader="none"/>
          <w:tab w:val="left" w:pos="4320" w:leader="none"/>
        </w:tabs>
        <w:jc w:val="both"/>
        <w:rPr>
          <w:rFonts w:ascii="Times New Roman" w:hAnsi="Times New Roman" w:cs="Times New Roman"/>
          <w:sz w:val="22"/>
        </w:rPr>
      </w:pPr>
      <w:r>
        <w:rPr>
          <w:rFonts w:cs="Times New Roman" w:ascii="Times New Roman" w:hAnsi="Times New Roman"/>
          <w:sz w:val="22"/>
        </w:rPr>
        <w:t xml:space="preserve">We intend to provide real time credit risk solutions to the enduser market by developing innovative products, providing transparency and liquidity on more names than anyone else and leveraging our experience from EnronOnline to gain a foothold in providing integrated credit solutions for online business to business commerce </w:t>
      </w:r>
    </w:p>
    <w:p>
      <w:pPr>
        <w:pStyle w:val="Normal"/>
        <w:numPr>
          <w:ilvl w:val="0"/>
          <w:numId w:val="7"/>
        </w:numPr>
        <w:tabs>
          <w:tab w:val="left" w:pos="540" w:leader="none"/>
          <w:tab w:val="left" w:pos="4320" w:leader="none"/>
        </w:tabs>
        <w:jc w:val="both"/>
        <w:rPr>
          <w:rFonts w:ascii="Times New Roman" w:hAnsi="Times New Roman" w:cs="Times New Roman"/>
          <w:sz w:val="22"/>
        </w:rPr>
      </w:pPr>
      <w:r>
        <w:rPr>
          <w:rFonts w:cs="Times New Roman" w:ascii="Times New Roman" w:hAnsi="Times New Roman"/>
          <w:sz w:val="22"/>
        </w:rPr>
        <w:t>Understanding of corporate credit risk, ability and willingness to make markets, first mover advantage in online commerce.</w:t>
      </w:r>
    </w:p>
    <w:p>
      <w:pPr>
        <w:pStyle w:val="Normal"/>
        <w:tabs>
          <w:tab w:val="left" w:pos="54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Heading6"/>
        <w:jc w:val="start"/>
        <w:rPr/>
      </w:pPr>
      <w:r>
        <w:rPr/>
        <w:t>Book Architecture</w:t>
      </w:r>
    </w:p>
    <w:p>
      <w:pPr>
        <w:pStyle w:val="Normal"/>
        <w:rPr/>
      </w:pPr>
      <w:r>
        <w:rPr/>
      </w:r>
    </w:p>
    <w:p>
      <w:pPr>
        <w:pStyle w:val="Normal"/>
        <w:numPr>
          <w:ilvl w:val="0"/>
          <w:numId w:val="6"/>
        </w:numPr>
        <w:jc w:val="both"/>
        <w:rPr>
          <w:sz w:val="20"/>
        </w:rPr>
      </w:pPr>
      <w:r>
        <w:rPr>
          <w:sz w:val="20"/>
        </w:rPr>
        <w:t>There will be a market making book, a high yield book and a distressed debt book.  These books are further broken down into geographic responsibilities with all risk managed out of London.</w:t>
      </w:r>
    </w:p>
    <w:p>
      <w:pPr>
        <w:pStyle w:val="Normal"/>
        <w:tabs>
          <w:tab w:val="left" w:pos="540" w:leader="none"/>
          <w:tab w:val="left" w:pos="2520" w:leader="none"/>
        </w:tabs>
        <w:rPr/>
      </w:pPr>
      <w:r>
        <w:rPr>
          <w:rFonts w:cs="Times New Roman" w:ascii="Times New Roman" w:hAnsi="Times New Roman"/>
          <w:sz w:val="22"/>
        </w:rPr>
        <w:tab/>
      </w:r>
      <w:r>
        <w:rPr>
          <w:b/>
        </w:rPr>
        <w:tab/>
      </w:r>
      <w:r>
        <w:rPr/>
        <w:tab/>
        <w:tab/>
      </w:r>
    </w:p>
    <w:p>
      <w:pPr>
        <w:pStyle w:val="Heading6"/>
        <w:jc w:val="start"/>
        <w:rPr/>
      </w:pPr>
      <w:r>
        <w:rPr/>
        <w:t>Authorized Traders</w:t>
      </w:r>
    </w:p>
    <w:p>
      <w:pPr>
        <w:pStyle w:val="Heading6"/>
        <w:numPr>
          <w:ilvl w:val="0"/>
          <w:numId w:val="2"/>
        </w:numPr>
        <w:jc w:val="start"/>
        <w:rPr>
          <w:b w:val="false"/>
          <w:u w:val="none"/>
        </w:rPr>
      </w:pPr>
      <w:r>
        <w:rPr>
          <w:b w:val="false"/>
          <w:u w:val="none"/>
        </w:rPr>
        <w:t>Completed Authorized Trader form</w:t>
      </w:r>
    </w:p>
    <w:p>
      <w:pPr>
        <w:pStyle w:val="Normal"/>
        <w:tabs>
          <w:tab w:val="left" w:pos="540" w:leader="none"/>
          <w:tab w:val="left" w:pos="2520" w:leader="none"/>
        </w:tabs>
        <w:rPr>
          <w:b/>
          <w:u w:val="none"/>
        </w:rPr>
      </w:pPr>
      <w:r>
        <w:rPr>
          <w:b/>
          <w:u w:val="none"/>
        </w:rPr>
      </w:r>
    </w:p>
    <w:p>
      <w:pPr>
        <w:pStyle w:val="Heading6"/>
        <w:jc w:val="start"/>
        <w:rPr/>
      </w:pPr>
      <w:r>
        <w:rPr/>
        <w:t>Quantitative Risk Parameters:</w:t>
      </w:r>
    </w:p>
    <w:p>
      <w:pPr>
        <w:pStyle w:val="Normal"/>
        <w:rPr/>
      </w:pPr>
      <w:r>
        <w:rPr/>
      </w:r>
    </w:p>
    <w:p>
      <w:pPr>
        <w:pStyle w:val="Normal"/>
        <w:numPr>
          <w:ilvl w:val="0"/>
          <w:numId w:val="6"/>
        </w:numPr>
        <w:jc w:val="both"/>
        <w:rPr>
          <w:sz w:val="20"/>
        </w:rPr>
      </w:pPr>
      <w:r>
        <w:rPr>
          <w:sz w:val="20"/>
        </w:rPr>
        <w:t>Proposed Benchmark measurement is dollar value of a basis point (DV01) of movements in credit spreads</w:t>
      </w:r>
    </w:p>
    <w:p>
      <w:pPr>
        <w:pStyle w:val="Normal"/>
        <w:numPr>
          <w:ilvl w:val="0"/>
          <w:numId w:val="6"/>
        </w:numPr>
        <w:jc w:val="both"/>
        <w:rPr>
          <w:sz w:val="20"/>
        </w:rPr>
      </w:pPr>
      <w:r>
        <w:rPr>
          <w:sz w:val="20"/>
        </w:rPr>
        <w:t>Proposed Net Open Position Limit = $750,000</w:t>
      </w:r>
    </w:p>
    <w:p>
      <w:pPr>
        <w:pStyle w:val="Normal"/>
        <w:numPr>
          <w:ilvl w:val="0"/>
          <w:numId w:val="6"/>
        </w:numPr>
        <w:jc w:val="both"/>
        <w:rPr>
          <w:sz w:val="20"/>
        </w:rPr>
      </w:pPr>
      <w:r>
        <w:rPr>
          <w:sz w:val="20"/>
        </w:rPr>
        <w:t>Proposed Net Open Position Limit per Name = $50,000</w:t>
      </w:r>
    </w:p>
    <w:p>
      <w:pPr>
        <w:pStyle w:val="Normal"/>
        <w:numPr>
          <w:ilvl w:val="0"/>
          <w:numId w:val="6"/>
        </w:numPr>
        <w:jc w:val="both"/>
        <w:rPr>
          <w:sz w:val="20"/>
        </w:rPr>
      </w:pPr>
      <w:r>
        <w:rPr>
          <w:sz w:val="20"/>
        </w:rPr>
        <w:t>Proposed VaR = $5mm; (note that Daily Loss limit is 50%, and Cumulative 5-day Loss Limit is 75%</w:t>
      </w:r>
    </w:p>
    <w:p>
      <w:pPr>
        <w:pStyle w:val="Normal"/>
        <w:numPr>
          <w:ilvl w:val="0"/>
          <w:numId w:val="6"/>
        </w:numPr>
        <w:jc w:val="both"/>
        <w:rPr>
          <w:sz w:val="20"/>
        </w:rPr>
      </w:pPr>
      <w:r>
        <w:rPr>
          <w:sz w:val="20"/>
        </w:rPr>
        <w:t>Effect on Portfolio Limits (does not change portfolio limit)</w:t>
      </w:r>
    </w:p>
    <w:p>
      <w:pPr>
        <w:pStyle w:val="BodyText"/>
        <w:rPr>
          <w:b/>
          <w:sz w:val="20"/>
          <w:u w:val="single"/>
        </w:rPr>
      </w:pPr>
      <w:r>
        <w:rPr>
          <w:b/>
          <w:sz w:val="20"/>
          <w:u w:val="single"/>
        </w:rPr>
      </w:r>
    </w:p>
    <w:p>
      <w:pPr>
        <w:pStyle w:val="BodyText"/>
        <w:rPr>
          <w:b/>
          <w:u w:val="single"/>
        </w:rPr>
      </w:pPr>
      <w:r>
        <w:rPr>
          <w:b/>
          <w:u w:val="single"/>
        </w:rPr>
        <w:t>Historical Results</w:t>
      </w:r>
    </w:p>
    <w:p>
      <w:pPr>
        <w:pStyle w:val="BodyText"/>
        <w:numPr>
          <w:ilvl w:val="0"/>
          <w:numId w:val="5"/>
        </w:numPr>
        <w:rPr/>
      </w:pPr>
      <w:r>
        <w:rPr/>
        <w:t>P/L to date = approximately $4 mm</w:t>
      </w:r>
    </w:p>
    <w:p>
      <w:pPr>
        <w:pStyle w:val="BodyText"/>
        <w:numPr>
          <w:ilvl w:val="0"/>
          <w:numId w:val="5"/>
        </w:numPr>
        <w:rPr/>
      </w:pPr>
      <w:r>
        <w:rPr/>
        <w:t>Summary of activity – approximately 150 trades to date; averaging about 5/week at this point</w:t>
      </w:r>
    </w:p>
    <w:p>
      <w:pPr>
        <w:pStyle w:val="BodyText"/>
        <w:rPr/>
      </w:pPr>
      <w:r>
        <w:rPr/>
      </w:r>
    </w:p>
    <w:p>
      <w:pPr>
        <w:pStyle w:val="Normal"/>
        <w:tabs>
          <w:tab w:val="left" w:pos="540" w:leader="none"/>
          <w:tab w:val="left" w:pos="2520" w:leader="none"/>
        </w:tabs>
        <w:ind w:hanging="2160" w:start="2160" w:end="0"/>
        <w:jc w:val="both"/>
        <w:rPr>
          <w:rFonts w:ascii="Times New Roman" w:hAnsi="Times New Roman" w:cs="Times New Roman"/>
          <w:sz w:val="22"/>
        </w:rPr>
      </w:pPr>
      <w:r>
        <w:rPr>
          <w:rFonts w:cs="Times New Roman" w:ascii="Times New Roman" w:hAnsi="Times New Roman"/>
          <w:b/>
          <w:sz w:val="22"/>
          <w:u w:val="single"/>
        </w:rPr>
        <w:t>Risk Assessment</w:t>
      </w:r>
    </w:p>
    <w:p>
      <w:pPr>
        <w:pStyle w:val="Normal"/>
        <w:tabs>
          <w:tab w:val="left" w:pos="540" w:leader="none"/>
          <w:tab w:val="left" w:pos="25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BodyText"/>
        <w:numPr>
          <w:ilvl w:val="0"/>
          <w:numId w:val="4"/>
        </w:numPr>
        <w:jc w:val="start"/>
        <w:rPr/>
      </w:pPr>
      <w:r>
        <w:rPr/>
        <w:t>In addition to the market risk resulting from open positions, there is also credit risk both to our counterparties and also to the reference credits which we are writing protection on.  There is also significant documentation and legal risk which needs to be actively managed.</w:t>
      </w:r>
    </w:p>
    <w:p>
      <w:pPr>
        <w:pStyle w:val="BodyText"/>
        <w:jc w:val="start"/>
        <w:rPr>
          <w:b/>
          <w:u w:val="single"/>
        </w:rPr>
      </w:pPr>
      <w:r>
        <w:rPr>
          <w:b/>
          <w:u w:val="single"/>
        </w:rPr>
      </w:r>
    </w:p>
    <w:p>
      <w:pPr>
        <w:pStyle w:val="BodyText"/>
        <w:jc w:val="start"/>
        <w:rPr>
          <w:b/>
          <w:u w:val="single"/>
        </w:rPr>
      </w:pPr>
      <w:r>
        <w:rPr>
          <w:b/>
          <w:u w:val="single"/>
        </w:rPr>
      </w:r>
    </w:p>
    <w:p>
      <w:pPr>
        <w:pStyle w:val="BodyText"/>
        <w:jc w:val="start"/>
        <w:rPr>
          <w:b/>
          <w:u w:val="single"/>
        </w:rPr>
      </w:pPr>
      <w:r>
        <w:rPr>
          <w:b/>
          <w:u w:val="single"/>
        </w:rPr>
        <w:t>Conditions Precedent to Effective Date</w:t>
      </w:r>
    </w:p>
    <w:p>
      <w:pPr>
        <w:pStyle w:val="BodyText"/>
        <w:jc w:val="start"/>
        <w:rPr>
          <w:b/>
          <w:u w:val="single"/>
        </w:rPr>
      </w:pPr>
      <w:r>
        <w:rPr>
          <w:b/>
          <w:u w:val="single"/>
        </w:rPr>
      </w:r>
    </w:p>
    <w:p>
      <w:pPr>
        <w:pStyle w:val="BodyText"/>
        <w:jc w:val="start"/>
        <w:rPr/>
      </w:pPr>
      <w:r>
        <w:rPr/>
        <w:t>None.</w:t>
      </w:r>
      <w:r>
        <w:br w:type="page"/>
      </w:r>
    </w:p>
    <w:p>
      <w:pPr>
        <w:pStyle w:val="BodyText"/>
        <w:jc w:val="start"/>
        <w:rPr/>
      </w:pPr>
      <w:r>
        <w:rPr/>
      </w:r>
    </w:p>
    <w:p>
      <w:pPr>
        <w:pStyle w:val="Normal"/>
        <w:tabs>
          <w:tab w:val="left" w:pos="540" w:leader="none"/>
          <w:tab w:val="left" w:pos="2520" w:leader="none"/>
        </w:tabs>
        <w:ind w:hanging="2160" w:start="2160" w:end="0"/>
        <w:jc w:val="both"/>
        <w:rPr>
          <w:rFonts w:ascii="Times New Roman" w:hAnsi="Times New Roman" w:cs="Times New Roman"/>
          <w:sz w:val="22"/>
        </w:rPr>
      </w:pPr>
      <w:r>
        <w:rPr>
          <w:rFonts w:cs="Times New Roman" w:ascii="Times New Roman" w:hAnsi="Times New Roman"/>
          <w:b/>
          <w:sz w:val="22"/>
          <w:u w:val="single"/>
        </w:rPr>
        <w:t>Approvals</w:t>
      </w:r>
    </w:p>
    <w:p>
      <w:pPr>
        <w:pStyle w:val="Normal"/>
        <w:tabs>
          <w:tab w:val="left" w:pos="540" w:leader="none"/>
          <w:tab w:val="left" w:pos="25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BodyText"/>
        <w:rPr/>
      </w:pPr>
      <w:r>
        <w:rPr/>
        <w:t>Assuming BOD approval, the aforementioned limits are effective on December 12, 2001, subject to completion of the items listed in the</w:t>
      </w:r>
      <w:r>
        <w:rPr>
          <w:b/>
        </w:rPr>
        <w:t xml:space="preserve"> Conditions Precedent</w:t>
      </w:r>
      <w:r>
        <w:rPr/>
        <w:t xml:space="preserve"> section, and shall remain in place unless amended by the signatories.</w:t>
      </w:r>
    </w:p>
    <w:p>
      <w:pPr>
        <w:pStyle w:val="BodyText"/>
        <w:rPr/>
      </w:pPr>
      <w:r>
        <w:rPr/>
      </w:r>
    </w:p>
    <w:p>
      <w:pPr>
        <w:pStyle w:val="BodyText"/>
        <w:rPr/>
      </w:pPr>
      <w:r>
        <w:rPr/>
        <w:t xml:space="preserve">Signature below signifies this function will have the infrastructure in place to handle this new business, unless noted above in the </w:t>
      </w:r>
      <w:r>
        <w:rPr>
          <w:b/>
        </w:rPr>
        <w:t>Conditions Precedent</w:t>
      </w:r>
      <w:r>
        <w:rPr/>
        <w:t xml:space="preserve"> section.</w:t>
      </w:r>
    </w:p>
    <w:p>
      <w:pPr>
        <w:pStyle w:val="BodyText"/>
        <w:rPr/>
      </w:pPr>
      <w:r>
        <w:rPr/>
        <w:tab/>
        <w:tab/>
        <w:tab/>
        <w:tab/>
        <w:tab/>
        <w:tab/>
        <w:t xml:space="preserve">          </w:t>
      </w:r>
      <w:r>
        <w:rPr>
          <w:b/>
        </w:rPr>
        <w:t>Approved</w:t>
        <w:tab/>
        <w:tab/>
        <w:tab/>
        <w:tab/>
        <w:t>Date</w:t>
      </w:r>
    </w:p>
    <w:p>
      <w:pPr>
        <w:pStyle w:val="Normal"/>
        <w:tabs>
          <w:tab w:val="clear" w:pos="540"/>
          <w:tab w:val="left" w:pos="0" w:leader="none"/>
          <w:tab w:val="left" w:pos="3780" w:leader="none"/>
          <w:tab w:val="left" w:pos="4320" w:leader="none"/>
        </w:tabs>
        <w:jc w:val="both"/>
        <w:rPr>
          <w:rFonts w:ascii="Times New Roman" w:hAnsi="Times New Roman" w:cs="Times New Roman"/>
          <w:b/>
          <w:sz w:val="18"/>
        </w:rPr>
      </w:pPr>
      <w:r>
        <w:rPr>
          <w:rFonts w:cs="Times New Roman" w:ascii="Times New Roman" w:hAnsi="Times New Roman"/>
          <w:b/>
          <w:sz w:val="18"/>
        </w:rPr>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COO or CEO – Business Unit</w:t>
        <w:tab/>
        <w:t>_______________________________               _____________</w:t>
      </w:r>
    </w:p>
    <w:p>
      <w:pPr>
        <w:pStyle w:val="Normal"/>
        <w:tabs>
          <w:tab w:val="clear" w:pos="540"/>
          <w:tab w:val="left" w:pos="0" w:leader="none"/>
          <w:tab w:val="left" w:pos="3780" w:leader="none"/>
          <w:tab w:val="left" w:pos="4320" w:leader="none"/>
        </w:tabs>
        <w:jc w:val="both"/>
        <w:rPr>
          <w:rFonts w:ascii="Times New Roman" w:hAnsi="Times New Roman" w:cs="Times New Roman"/>
          <w:sz w:val="22"/>
          <w:u w:val="single"/>
        </w:rPr>
      </w:pPr>
      <w:r>
        <w:rPr>
          <w:rFonts w:cs="Times New Roman" w:ascii="Times New Roman" w:hAnsi="Times New Roman"/>
          <w:sz w:val="22"/>
        </w:rPr>
        <w:tab/>
        <w:t>John Sherriff</w:t>
        <w:tab/>
        <w:tab/>
        <w:tab/>
        <w:tab/>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Market &amp; Credit Risk Management</w:t>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ab/>
        <w:tab/>
        <w:tab/>
        <w:t>Ted Murphy</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Research</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ab/>
        <w:tab/>
        <w:tab/>
        <w:t>Vince Kaminski</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Energy Operations</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ab/>
        <w:tab/>
        <w:tab/>
        <w:t>James New or Michael Jordan</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Rick Buy, CRO</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Jeff Skilling, President/COO/CEO</w:t>
        <w:tab/>
        <w:t>_______________________________               _____________</w:t>
      </w:r>
    </w:p>
    <w:sectPr>
      <w:headerReference w:type="default" r:id="rId2"/>
      <w:headerReference w:type="first" r:id="rId3"/>
      <w:footerReference w:type="default" r:id="rId4"/>
      <w:footerReference w:type="first" r:id="rId5"/>
      <w:type w:val="nextPage"/>
      <w:pgSz w:w="12240" w:h="15840"/>
      <w:pgMar w:left="720" w:right="720" w:gutter="0" w:header="720" w:top="776" w:footer="36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object w:dxaOrig="1397" w:dyaOrig="138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1.6pt;margin-top:-735.65pt;width:69.85pt;height:69.1pt;mso-wrap-distance-left:9.05pt;mso-wrap-distance-right:9.05pt;mso-position-horizontal-relative:text;mso-position-vertical-relative:text" filled="f" o:ole="">
          <v:imagedata r:id="rId2" o:title=""/>
        </v:shape>
        <o:OLEObject Type="Embed" ProgID="" ShapeID="ole_rId1" DrawAspect="Content" ObjectID="_1143995898" r:id="rId1"/>
      </w:object>
    </w: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ab/>
      <w:t xml:space="preserve">             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p>
    <w:pPr>
      <w:pStyle w:val="BodyTextIndent3"/>
      <w:jc w:val="end"/>
      <w:rPr/>
    </w:pPr>
    <w:r>
      <w:rPr/>
      <w:t>Proprietary and Confidential</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2615565</wp:posOffset>
              </wp:positionH>
              <wp:positionV relativeFrom="paragraph">
                <wp:posOffset>-189865</wp:posOffset>
              </wp:positionV>
              <wp:extent cx="3877310" cy="93726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14.95pt;mso-position-vertical-relative:text;margin-left:205.95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i/>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left" w:pos="540" w:leader="none"/>
        <w:tab w:val="left" w:pos="2520" w:leader="none"/>
      </w:tabs>
      <w:ind w:hanging="2160" w:start="2160" w:end="0"/>
      <w:jc w:val="both"/>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tabs>
        <w:tab w:val="left" w:pos="540" w:leader="none"/>
        <w:tab w:val="left" w:pos="4320" w:leader="none"/>
      </w:tabs>
      <w:ind w:hanging="2160" w:start="2160" w:end="0"/>
      <w:jc w:val="center"/>
      <w:outlineLvl w:val="5"/>
    </w:pPr>
    <w:rPr>
      <w:rFonts w:ascii="Times New Roman" w:hAnsi="Times New Roman" w:cs="Times New Roman"/>
      <w:b/>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sz w:val="20"/>
    </w:rPr>
  </w:style>
  <w:style w:type="paragraph" w:styleId="BodyTextIndent2">
    <w:name w:val="Body Text Indent 2"/>
    <w:basedOn w:val="Normal"/>
    <w:qFormat/>
    <w:pPr>
      <w:ind w:hanging="0" w:start="720" w:end="0"/>
    </w:pPr>
    <w:rPr>
      <w:sz w:val="20"/>
    </w:rPr>
  </w:style>
  <w:style w:type="paragraph" w:styleId="BodyTextIndent3">
    <w:name w:val="Body Text Indent 3"/>
    <w:basedOn w:val="Normal"/>
    <w:qFormat/>
    <w:pPr>
      <w:ind w:hanging="0" w:start="3600" w:end="0"/>
      <w:jc w:val="center"/>
    </w:pPr>
    <w:rPr>
      <w:b/>
      <w:color w:val="FF0000"/>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2001-05-04T11:56:00Z</dcterms:created>
  <dc:creator>Jeff Ford</dc:creator>
  <dc:description/>
  <dc:language>en-CA</dc:language>
  <cp:lastModifiedBy>cschult</cp:lastModifiedBy>
  <cp:lastPrinted>2000-10-24T14:16:00Z</cp:lastPrinted>
  <dcterms:modified xsi:type="dcterms:W3CDTF">2001-05-04T11:56:00Z</dcterms:modified>
  <cp:revision>2</cp:revision>
  <dc:subject/>
  <dc:title>Eron Capital &amp; Trade Resources Memo</dc:title>
</cp:coreProperties>
</file>