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Complexity of modern financial markets never ceases to amaze me. Te links between different financial instruments are sometimes very subtle and it takes understanding of many different types of transactions to explain the interdependencies. Recently, I have been receiving E-mails from different academics and practitioners asking for explanation of anomaly detected in pricing of credit default swaps. One E-mail asked the following question: According to a Bank of America publication, your (Enron) default swap spreads are consistently trading about 80 basis points wider than your asset swaps. Any idea of what is going on here?</w:t>
      </w:r>
    </w:p>
    <w:p>
      <w:pPr>
        <w:pStyle w:val="BodyText"/>
        <w:rPr/>
      </w:pPr>
      <w:r>
        <w:rPr/>
      </w:r>
    </w:p>
    <w:p>
      <w:pPr>
        <w:pStyle w:val="NormalWeb"/>
        <w:jc w:val="both"/>
        <w:rPr/>
      </w:pPr>
      <w:r>
        <w:rPr>
          <w:rFonts w:cs="Times New Roman" w:ascii="Times New Roman" w:hAnsi="Times New Roman"/>
        </w:rPr>
        <w:t xml:space="preserve">I came up with an answer with the help of Bryan Seyfried from Enron Credit.com, our unit in London trading credit protection tools. The answer requires explaining first what are credit default swaps. </w:t>
      </w:r>
      <w:r>
        <w:rPr>
          <w:rFonts w:cs="Times New Roman" w:ascii="Times New Roman" w:hAnsi="Times New Roman"/>
          <w:szCs w:val="20"/>
        </w:rPr>
        <w:t xml:space="preserve">In a plain-vanilla credit default swap structure, the buyer pays a premium for protection he or she receives in case a credit event (default) takes place in the case of a reference entity. In the event of default by the reference entity, the seller of the protection is required to pay an amount equal to the difference between the initial price of the credit exposure and its recovery value. For example, the protection may be purchased for a bond issued by the reference entity. In the case of a default, the seller of protection pays the difference between the face value of the bond and its </w:t>
      </w:r>
      <w:r>
        <w:rPr>
          <w:rFonts w:cs="Times New Roman" w:ascii="Times New Roman" w:hAnsi="Times New Roman"/>
          <w:szCs w:val="18"/>
        </w:rPr>
        <w:t xml:space="preserve">current (post-default) market price. </w:t>
      </w:r>
    </w:p>
    <w:p>
      <w:pPr>
        <w:pStyle w:val="NormalWeb"/>
        <w:jc w:val="both"/>
        <w:rPr>
          <w:rFonts w:ascii="Times New Roman" w:hAnsi="Times New Roman" w:cs="Times New Roman"/>
          <w:szCs w:val="18"/>
        </w:rPr>
      </w:pPr>
      <w:r>
        <w:rPr>
          <w:rFonts w:cs="Times New Roman" w:ascii="Times New Roman" w:hAnsi="Times New Roman"/>
          <w:szCs w:val="18"/>
        </w:rPr>
        <w:t xml:space="preserve">Mispricing of credit default swaps often takes place following an issuance by the reference entity of convertible bonds. A convertible bond can be looked at as a combination of a regular coupon bond and a long-term equity option. Sometimes the equity option may be mispriced and be available at a lower price than the comparable equity options that can be obtained at the derivatives markets. The hedge funds buy convertible bonds to acquire the option component but are not interested in taking the issuer’s credit. They seek to lay off credit risk by selling the asset swaps or by buying protection through default swaps. This arbitrage leads in many cases, after a large convertible bonds issue, to imbalance in the asset swaps markets vs. default swaps markets. The cost of credit protection goes up but this has nothing to do with deterioration of the issuer’s credit. </w:t>
      </w:r>
    </w:p>
    <w:p>
      <w:pPr>
        <w:pStyle w:val="NormalWeb"/>
        <w:jc w:val="both"/>
        <w:rPr>
          <w:rFonts w:ascii="Times New Roman" w:hAnsi="Times New Roman" w:cs="Times New Roman"/>
          <w:szCs w:val="18"/>
        </w:rPr>
      </w:pPr>
      <w:r>
        <w:rPr>
          <w:rFonts w:cs="Times New Roman" w:ascii="Times New Roman" w:hAnsi="Times New Roman"/>
          <w:szCs w:val="18"/>
        </w:rPr>
        <w:t>One may expect that this imbalance will be eliminated over time and the prices of default and asset swaps will converge. Frictions and rigidities in the capital markets may slow down this process.</w:t>
      </w:r>
    </w:p>
    <w:p>
      <w:pPr>
        <w:pStyle w:val="NormalWeb"/>
        <w:jc w:val="both"/>
        <w:rPr>
          <w:rFonts w:ascii="Times New Roman" w:hAnsi="Times New Roman" w:cs="Times New Roman"/>
          <w:szCs w:val="18"/>
        </w:rPr>
      </w:pPr>
      <w:r>
        <w:rPr>
          <w:rFonts w:cs="Times New Roman" w:ascii="Times New Roman" w:hAnsi="Times New Roman"/>
          <w:szCs w:val="18"/>
        </w:rPr>
        <w:t>Enron issues recently a $1.9 billion convertible bond that became a target of arbitrage activities carried out by the hedge funds. What is very interesting is that analysts who look at one segment of the financial markets in isolation from other segments may be unable to explain the dynamics of prices. Globalization has arrived and it has more than one dimension.</w:t>
      </w:r>
    </w:p>
    <w:p>
      <w:pPr>
        <w:pStyle w:val="NormalWeb"/>
        <w:jc w:val="both"/>
        <w:rPr>
          <w:rFonts w:ascii="Times New Roman" w:hAnsi="Times New Roman" w:cs="Times New Roman"/>
          <w:szCs w:val="18"/>
        </w:rPr>
      </w:pPr>
      <w:r>
        <w:rPr>
          <w:rFonts w:cs="Times New Roman" w:ascii="Times New Roman" w:hAnsi="Times New Roman"/>
          <w:szCs w:val="18"/>
        </w:rPr>
      </w:r>
    </w:p>
    <w:p>
      <w:pPr>
        <w:pStyle w:val="NormalWeb"/>
        <w:jc w:val="both"/>
        <w:rPr>
          <w:rFonts w:ascii="Times New Roman" w:hAnsi="Times New Roman" w:cs="Times New Roman"/>
          <w:szCs w:val="18"/>
        </w:rPr>
      </w:pPr>
      <w:r>
        <w:rPr>
          <w:rFonts w:cs="Times New Roman" w:ascii="Times New Roman" w:hAnsi="Times New Roman"/>
          <w:szCs w:val="18"/>
        </w:rPr>
      </w:r>
    </w:p>
    <w:p>
      <w:pPr>
        <w:pStyle w:val="BodyText"/>
        <w:rPr>
          <w:rFonts w:ascii="Times New Roman" w:hAnsi="Times New Roman" w:cs="Times New Roman"/>
          <w:szCs w:val="18"/>
        </w:rPr>
      </w:pPr>
      <w:r>
        <w:rPr>
          <w:rFonts w:cs="Times New Roman"/>
          <w:szCs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2001-04-01T23:05:00Z</dcterms:created>
  <dc:creator>Vince Kaminski</dc:creator>
  <dc:description/>
  <dc:language>en-CA</dc:language>
  <cp:lastModifiedBy>Vince Kaminski</cp:lastModifiedBy>
  <dcterms:modified xsi:type="dcterms:W3CDTF">2001-04-02T01:58:00Z</dcterms:modified>
  <cp:revision>5</cp:revision>
  <dc:subject/>
  <dc:title>Complexity of modern financial markts never ceases to amaze me</dc:title>
</cp:coreProperties>
</file>