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b/>
          <w:bCs/>
          <w:color w:val="000000"/>
          <w:sz w:val="24"/>
          <w:szCs w:val="24"/>
        </w:rPr>
      </w:pPr>
      <w:r>
        <w:rPr>
          <w:rFonts w:eastAsia="CG Times 12pt" w:cs="CG Times 12pt" w:ascii="CG Times 12pt" w:hAnsi="CG Times 12pt"/>
          <w:b/>
          <w:bCs/>
          <w:color w:val="000000"/>
          <w:sz w:val="24"/>
          <w:szCs w:val="24"/>
        </w:rPr>
        <w:t>CAROLYN P. VARELA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b/>
          <w:bCs/>
          <w:color w:val="000000"/>
          <w:sz w:val="24"/>
          <w:szCs w:val="24"/>
        </w:rPr>
      </w:pPr>
      <w:r>
        <w:rPr>
          <w:rFonts w:eastAsia="CG Times 12pt" w:cs="CG Times 12pt" w:ascii="CG Times 12pt" w:hAnsi="CG Times 12pt"/>
          <w:b/>
          <w:bCs/>
          <w:color w:val="000000"/>
          <w:sz w:val="24"/>
          <w:szCs w:val="24"/>
        </w:rPr>
        <w:t>7515 HEREFORD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b/>
          <w:bCs/>
          <w:color w:val="000000"/>
          <w:sz w:val="24"/>
          <w:szCs w:val="24"/>
        </w:rPr>
      </w:pPr>
      <w:r>
        <w:rPr>
          <w:rFonts w:eastAsia="CG Times 12pt" w:cs="CG Times 12pt" w:ascii="CG Times 12pt" w:hAnsi="CG Times 12pt"/>
          <w:b/>
          <w:bCs/>
          <w:color w:val="000000"/>
          <w:sz w:val="24"/>
          <w:szCs w:val="24"/>
        </w:rPr>
        <w:t>HOUSTON, TEXAS 77087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b/>
          <w:bCs/>
          <w:color w:val="000000"/>
          <w:sz w:val="24"/>
          <w:szCs w:val="24"/>
        </w:rPr>
      </w:pPr>
      <w:r>
        <w:rPr>
          <w:rFonts w:eastAsia="CG Times 12pt" w:cs="CG Times 12pt" w:ascii="CG Times 12pt" w:hAnsi="CG Times 12pt"/>
          <w:b/>
          <w:bCs/>
          <w:color w:val="000000"/>
          <w:sz w:val="24"/>
          <w:szCs w:val="24"/>
        </w:rPr>
        <w:t>713-644-7839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b/>
          <w:bCs/>
          <w:color w:val="000000"/>
          <w:sz w:val="28"/>
          <w:szCs w:val="28"/>
        </w:rPr>
      </w:pPr>
      <w:r>
        <w:rPr>
          <w:rFonts w:eastAsia="CG Times 12pt" w:cs="CG Times 12pt" w:ascii="CG Times 12pt" w:hAnsi="CG Times 12pt"/>
          <w:b/>
          <w:bCs/>
          <w:color w:val="000000"/>
          <w:sz w:val="28"/>
          <w:szCs w:val="28"/>
        </w:rPr>
        <w:t>Locke Liddell &amp; Sapp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pPr>
      <w:r>
        <w:rPr>
          <w:rFonts w:eastAsia="CG Times 12pt" w:cs="CG Times 12pt" w:ascii="CG Times 12pt" w:hAnsi="CG Times 12pt"/>
          <w:b/>
          <w:bCs/>
          <w:color w:val="000000"/>
          <w:sz w:val="24"/>
          <w:szCs w:val="24"/>
        </w:rPr>
        <w:t>(formerly Liddell, Sapp, Zivley, Hill &amp; LaBoon, L.L.P.)</w:t>
        <w:tab/>
        <w:tab/>
      </w:r>
      <w:r>
        <w:rPr>
          <w:rFonts w:eastAsia="CG Times 12pt" w:cs="CG Times 12pt" w:ascii="CG Times 12pt" w:hAnsi="CG Times 12pt"/>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Legal Assistant                                                                                       March 1984-Present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CG Times 12pt" w:cs="CG Times 12pt" w:ascii="CG Times 12pt" w:hAnsi="CG Times 12pt"/>
          <w:color w:val="000000"/>
          <w:sz w:val="24"/>
          <w:szCs w:val="24"/>
          <w:u w:val="single"/>
        </w:rPr>
        <w:t>Corporate and Securities/Banking/Real Estate</w:t>
      </w:r>
      <w:r>
        <w:rPr>
          <w:rFonts w:eastAsia="CG Times 12pt" w:cs="CG Times 12pt" w:ascii="CG Times 12pt" w:hAnsi="CG Times 12pt"/>
          <w:color w:val="000000"/>
          <w:sz w:val="24"/>
          <w:szCs w:val="24"/>
        </w:rPr>
        <w:t xml:space="preserve"> </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Prepare statutory documents in all 50 states in connection with corporations, limited partnerships, limited liability corporation including but not limited to incorporation, organization, qualification, amendments, merger, dissolution, withdrawal, fictitious name filings, registered agent filings, reinstatements, filings of UCC,  Deeds of Trusts, annual  franchise tax reports of corporations and public information records of corporations</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Preparation  of corporate  minutes, bylaws, issuance of stock relating to the corporate maintenance of corporations, maintenance of non-profit entities, limited liability companies, limited partnerships</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Assist in drafting, preparation and filing of annual reports, proxies, 10-K, 10-Q in connection with large financial  transactions, proof-reading,  red-lining of various financial agreements, assisting at closings and organization of post-closing  documents and filings</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 xml:space="preserve">Online corporate research on corporations, limited partnerships, limited liability companies and individuals including UCC searches, liens, IRS tax filings, county filings and real estate property  records </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Coordination of Legal Notices with newspapers in various states with respect to Bank Acquisitions, Mergers and Branch Banking situations</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Corporate and Real  Estate maintenance  for foreign corporate clients including  annual minutes, paying of property taxes, maintenance fees of property and coordination with  maintenance company  on ordinary upkeep associated with property</w:t>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Liaison with J.P. Morgan Chase &amp; Co. formerly Chase Bank of Texas Legal Department with respect to all in-house billings and assistance for future on-line billing projects and collections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b/>
          <w:bCs/>
          <w:color w:val="000000"/>
          <w:sz w:val="24"/>
          <w:szCs w:val="24"/>
          <w:u w:val="single"/>
        </w:rPr>
      </w:pPr>
      <w:r>
        <w:rPr>
          <w:rFonts w:eastAsia="CG Times 12pt" w:cs="CG Times 12pt" w:ascii="CG Times 12pt" w:hAnsi="CG Times 12pt"/>
          <w:b/>
          <w:bCs/>
          <w:color w:val="000000"/>
          <w:sz w:val="24"/>
          <w:szCs w:val="24"/>
          <w:u w:val="single"/>
        </w:rPr>
        <w:t xml:space="preserve">Probate and Tax </w:t>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Draft all documents for probate of wills/overall administration of probate process, including filings with the court systems in various counties in Texas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w:t>
      </w:r>
      <w:r>
        <w:rPr>
          <w:rFonts w:eastAsia="CG Times 12pt" w:cs="CG Times 12pt" w:ascii="CG Times 12pt" w:hAnsi="CG Times 12pt"/>
          <w:color w:val="000000"/>
          <w:sz w:val="24"/>
          <w:szCs w:val="24"/>
        </w:rPr>
        <w:tab/>
        <w:t>Draft documents for temporary and permanent guardianships</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Preparation of IRS Estate Tax Returns, Inheritance Tax Returns and Gift Tax Returns</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Liaison with executor of estate on all aspects of probate process</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Drafting of wills</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Maintenance of trusts for minors including distributions, maintenance of trust checking, savings and broker accounts</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Maintain probate docket and database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sectPr>
          <w:type w:val="nextPage"/>
          <w:pgSz w:w="12240" w:h="15840"/>
          <w:pgMar w:left="1440" w:right="1440" w:gutter="0" w:header="0" w:top="864" w:footer="0" w:bottom="288"/>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8"/>
          <w:szCs w:val="2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color w:val="000000"/>
          <w:sz w:val="28"/>
          <w:szCs w:val="28"/>
        </w:rPr>
      </w:pPr>
      <w:r>
        <w:rPr>
          <w:rFonts w:eastAsia="CG Times 12pt" w:cs="CG Times 12pt" w:ascii="CG Times 12pt" w:hAnsi="CG Times 12pt"/>
          <w:color w:val="000000"/>
          <w:sz w:val="28"/>
          <w:szCs w:val="28"/>
        </w:rPr>
        <w:t>J.P. Morgan Chase &amp; 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 formerly Chase Bank of Texas National Association)</w:t>
        <w:tab/>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Legal Assistant/Administrative Assistant                                         June 1974-February 1984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u w:val="single"/>
        </w:rPr>
      </w:pPr>
      <w:r>
        <w:rPr>
          <w:rFonts w:eastAsia="CG Times 12pt" w:cs="CG Times 12pt" w:ascii="CG Times 12pt" w:hAnsi="CG Times 12pt"/>
          <w:color w:val="000000"/>
          <w:sz w:val="24"/>
          <w:szCs w:val="24"/>
          <w:u w:val="single"/>
        </w:rPr>
        <w:t>In-House Legal Department</w:t>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Corporate maintenance for foreign and domestic subsidiaries of the bank’s holding company  and other entities affiliated with the bank</w:t>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Coordinate with staff attorneys on SEC filings including  annual, quarterly reports and proxy statements</w:t>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s>
        <w:bidi w:val="0"/>
        <w:spacing w:lineRule="auto" w:line="240" w:before="0" w:after="0"/>
        <w:ind w:hanging="720" w:start="72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Maintain SEC insider compliance on directors and officers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u w:val="single"/>
        </w:rPr>
      </w:pPr>
      <w:r>
        <w:rPr>
          <w:rFonts w:eastAsia="CG Times 12pt" w:cs="CG Times 12pt" w:ascii="CG Times 12pt" w:hAnsi="CG Times 12pt"/>
          <w:color w:val="000000"/>
          <w:sz w:val="24"/>
          <w:szCs w:val="24"/>
          <w:u w:val="single"/>
        </w:rPr>
        <w:t>Education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Southwestern Paralegal Institute-Probate Section Certificate 1992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Houston Community College-September l977-1979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American Institute of Banking-Concentration of Banking related courses 1976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Stephen F. Austin High School-May l974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u w:val="single"/>
        </w:rPr>
      </w:pPr>
      <w:r>
        <w:rPr>
          <w:rFonts w:eastAsia="CG Times 12pt" w:cs="CG Times 12pt" w:ascii="CG Times 12pt" w:hAnsi="CG Times 12pt"/>
          <w:color w:val="000000"/>
          <w:sz w:val="24"/>
          <w:szCs w:val="24"/>
          <w:u w:val="single"/>
        </w:rPr>
        <w:t>Professional Association and Skills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Member of the Houston Legal Assistants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Foreign Language-Spanish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WordPerfect, Microsoft Word, Excel, Access, Outlook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u w:val="single"/>
        </w:rPr>
      </w:pPr>
      <w:r>
        <w:rPr>
          <w:rFonts w:eastAsia="CG Times 12pt" w:cs="CG Times 12pt" w:ascii="CG Times 12pt" w:hAnsi="CG Times 12pt"/>
          <w:color w:val="000000"/>
          <w:sz w:val="24"/>
          <w:szCs w:val="24"/>
          <w:u w:val="single"/>
        </w:rPr>
        <w:t>Personal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Date of Birth:  January 3, l956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Fonts w:eastAsia="CG Times 12pt" w:cs="CG Times 12pt" w:ascii="CG Times 12pt" w:hAnsi="CG Times 12pt"/>
          <w:color w:val="000000"/>
          <w:sz w:val="24"/>
          <w:szCs w:val="24"/>
        </w:rPr>
        <w:t>Marital Status:  Married</w:t>
        <w:tab/>
        <w:tab/>
        <w:tab/>
        <w:tab/>
        <w:t xml:space="preserve">          References furnished upon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CG Times 12pt" w:hAnsi="CG Times 12pt" w:eastAsia="CG Times 12pt" w:cs="CG Times 12pt"/>
          <w:color w:val="000000"/>
          <w:sz w:val="24"/>
          <w:szCs w:val="24"/>
        </w:rPr>
      </w:pPr>
      <w:r>
        <w:rPr/>
      </w:r>
    </w:p>
    <w:sectPr>
      <w:footerReference w:type="default" r:id="rId2"/>
      <w:type w:val="nextPage"/>
      <w:pgSz w:w="12240" w:h="15840"/>
      <w:pgMar w:left="1440" w:right="1440" w:gutter="0" w:header="0" w:top="864" w:footer="288" w:bottom="57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12pt">
    <w:charset w:val="01" w:characterSet="utf-8"/>
    <w:family w:val="auto"/>
    <w:pitch w:val="default"/>
  </w:font>
  <w:font w:name="Times New Roman">
    <w:charset w:val="01" w:characterSet="utf-8"/>
    <w:family w:val="auto"/>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w:t>
    </w:r>
    <w:r>
      <w:rPr>
        <w:sz w:val="24"/>
        <w:szCs w:val="24"/>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20"/>
        </w:tabs>
        <w:ind w:start="720" w:hanging="72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BulletSymbols">
    <w:name w:val="Bullet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