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sz w:val="24"/>
        </w:rPr>
      </w:pPr>
      <w:r>
        <w:rPr>
          <w:sz w:val="24"/>
        </w:rPr>
        <w:t>Talking Points for CPUC Ruling:</w:t>
      </w:r>
    </w:p>
    <w:p>
      <w:pPr>
        <w:pStyle w:val="Normal"/>
        <w:widowControl/>
        <w:rPr>
          <w:sz w:val="24"/>
        </w:rPr>
      </w:pPr>
      <w:r>
        <w:rPr>
          <w:sz w:val="24"/>
        </w:rPr>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All determinations of the California Department of Water Resources set forth in a power purchase or power sale contract that the price, terms and conditions of such contract are “just and reasonable” pursuant to Federal Energy Regulatory Commission and Federal Power Act standards and will be honored by the California Public Utilities Commission and will be binding upon the California Public Utilities Commission for all purposes.</w:t>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The California Public Utilities Commission acknowledges and agrees that it is obligated and bound under the provisions of Assembly Bill X1 to promulgate and implement appropriate mechanisms which will assure that the full revenue requirements of the California Department of Water Resources delivered or certified to the California Public Utilities Commission from time to time are satisfied in full, expressly including but not limited to amounts sufficient to pay in full as and when due all amounts set forth in Section 80134 of the California Water Code.</w:t>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 xml:space="preserve">The California Public Utilities Commission acknowledged and agrees that all revenue requirements of the California Department of Water Resources and such rates as are required to provide for the satisfaction of the California Department of Water Resources revenue requirements in full will be “just and reasonable” for purpose of Section 451 of the California Public Utilities Code and will be honored by the California Public Utilities Commission and will be binding upon the California Public Utilities Commission for all purposes.   </w:t>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 xml:space="preserve">The California Public Utilities Commission will promulgate and adopt regulations necessary or appropriate to provide that the California Department of Water Resources will be able to recoup all of its revenue requirements without resort to any source other than rates established for retail end-use customers.  </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ind w:firstLine="720" w:end="0"/>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2001-02-15T21:25:00Z</dcterms:created>
  <dc:creator>jdasovic</dc:creator>
  <dc:description/>
  <dc:language>en-CA</dc:language>
  <cp:lastModifiedBy>jdasovic</cp:lastModifiedBy>
  <dcterms:modified xsi:type="dcterms:W3CDTF">2001-02-15T21:25:00Z</dcterms:modified>
  <cp:revision>2</cp:revision>
  <dc:subject/>
  <dc:title>Talking Points for CPUC Ruling:</dc:title>
</cp:coreProperties>
</file>