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rPr>
          <w:sz w:val="24"/>
        </w:rPr>
      </w:pPr>
      <w:r>
        <w:rPr>
          <w:sz w:val="24"/>
        </w:rPr>
      </w:r>
    </w:p>
    <w:p>
      <w:pPr>
        <w:pStyle w:val="Normal"/>
        <w:widowControl/>
        <w:rPr>
          <w:sz w:val="24"/>
        </w:rPr>
      </w:pPr>
      <w:r>
        <w:rPr>
          <w:sz w:val="24"/>
        </w:rPr>
        <w:t>Talking Points for CPUC Ruling:</w:t>
      </w:r>
    </w:p>
    <w:p>
      <w:pPr>
        <w:pStyle w:val="Normal"/>
        <w:widowControl/>
        <w:rPr>
          <w:sz w:val="24"/>
        </w:rPr>
      </w:pPr>
      <w:r>
        <w:rPr>
          <w:sz w:val="24"/>
        </w:rPr>
      </w:r>
    </w:p>
    <w:p>
      <w:pPr>
        <w:pStyle w:val="Normal"/>
        <w:widowControl/>
        <w:rPr>
          <w:sz w:val="24"/>
        </w:rPr>
      </w:pPr>
      <w:r>
        <w:rPr>
          <w:sz w:val="24"/>
        </w:rPr>
      </w:r>
    </w:p>
    <w:p>
      <w:pPr>
        <w:pStyle w:val="Level1"/>
        <w:widowControl/>
        <w:numPr>
          <w:ilvl w:val="0"/>
          <w:numId w:val="1"/>
        </w:numPr>
        <w:tabs>
          <w:tab w:val="left" w:pos="-1440" w:leader="none"/>
          <w:tab w:val="left" w:pos="720" w:leader="none"/>
        </w:tabs>
        <w:rPr>
          <w:sz w:val="24"/>
        </w:rPr>
      </w:pPr>
      <w:r>
        <w:rPr>
          <w:sz w:val="24"/>
        </w:rPr>
        <w:t>All determinations of the California Department of Water Resources set forth in a power purchase or power sale contract that the price, terms and conditions of such contract are “just and reasonable” pursuant to Federal Energy Regulatory Commission and Federal Power Act standards and will be honored by the California Public Utilities Commission and will be binding upon the California Public Utilities Commission for all purposes.</w:t>
      </w:r>
    </w:p>
    <w:p>
      <w:pPr>
        <w:pStyle w:val="Normal"/>
        <w:widowControl/>
        <w:rPr>
          <w:sz w:val="24"/>
        </w:rPr>
      </w:pPr>
      <w:r>
        <w:rPr>
          <w:sz w:val="24"/>
        </w:rPr>
      </w:r>
    </w:p>
    <w:p>
      <w:pPr>
        <w:pStyle w:val="Level1"/>
        <w:widowControl/>
        <w:numPr>
          <w:ilvl w:val="0"/>
          <w:numId w:val="1"/>
        </w:numPr>
        <w:tabs>
          <w:tab w:val="left" w:pos="-1440" w:leader="none"/>
          <w:tab w:val="left" w:pos="720" w:leader="none"/>
        </w:tabs>
        <w:rPr>
          <w:sz w:val="24"/>
        </w:rPr>
      </w:pPr>
      <w:r>
        <w:rPr>
          <w:sz w:val="24"/>
        </w:rPr>
        <w:t>The California Public Utilities Commission acknowledges and agrees that it is obligated and bound under the provisions of Assembly Bill X1 to promulgate and implement appropriate mechanisms which will assure that the full revenue requirements of the California Department of Water Resources delivered or certified to the California Public Utilities Commission from time to time are satisfied in full, expressly including but not limited to amounts sufficient to pay in full as and when due all amounts set forth in Section 80134 of the California Water Code.</w:t>
      </w:r>
    </w:p>
    <w:p>
      <w:pPr>
        <w:pStyle w:val="Normal"/>
        <w:widowControl/>
        <w:rPr>
          <w:sz w:val="24"/>
        </w:rPr>
      </w:pPr>
      <w:r>
        <w:rPr>
          <w:sz w:val="24"/>
        </w:rPr>
      </w:r>
    </w:p>
    <w:p>
      <w:pPr>
        <w:pStyle w:val="Level1"/>
        <w:widowControl/>
        <w:numPr>
          <w:ilvl w:val="0"/>
          <w:numId w:val="1"/>
        </w:numPr>
        <w:tabs>
          <w:tab w:val="left" w:pos="-1440" w:leader="none"/>
          <w:tab w:val="left" w:pos="720" w:leader="none"/>
        </w:tabs>
        <w:rPr>
          <w:sz w:val="24"/>
        </w:rPr>
      </w:pPr>
      <w:r>
        <w:rPr>
          <w:sz w:val="24"/>
        </w:rPr>
        <w:t xml:space="preserve">The California Public Utilities Commission acknowledged and agrees that all revenue requirements of the California Department of Water Resources and such rates as are required to provide for the satisfaction of the California Department of Water Resources revenue requirements in full will be “just and reasonable” for purpose of Section 451 of the California Public Utilities Code and will be honored by the California Public Utilities Commission and will be binding upon the California Public Utilities Commission for all purposes.   </w:t>
      </w:r>
    </w:p>
    <w:p>
      <w:pPr>
        <w:pStyle w:val="Normal"/>
        <w:widowControl/>
        <w:rPr>
          <w:sz w:val="24"/>
        </w:rPr>
      </w:pPr>
      <w:r>
        <w:rPr>
          <w:sz w:val="24"/>
        </w:rPr>
      </w:r>
    </w:p>
    <w:p>
      <w:pPr>
        <w:pStyle w:val="Level1"/>
        <w:widowControl/>
        <w:numPr>
          <w:ilvl w:val="0"/>
          <w:numId w:val="1"/>
        </w:numPr>
        <w:tabs>
          <w:tab w:val="left" w:pos="-1440" w:leader="none"/>
          <w:tab w:val="left" w:pos="720" w:leader="none"/>
        </w:tabs>
        <w:rPr>
          <w:sz w:val="24"/>
        </w:rPr>
      </w:pPr>
      <w:r>
        <w:rPr>
          <w:sz w:val="24"/>
        </w:rPr>
        <w:t xml:space="preserve">The California Public Utilities Commission will promulgate and adopt regulations necessary or appropriate to provide that the California Department of Water Resources will be able to recoup all of its revenue requirements without resort to any source other than rates established for retail end-use customers.  </w:t>
      </w:r>
    </w:p>
    <w:p>
      <w:pPr>
        <w:pStyle w:val="Normal"/>
        <w:widowControl/>
        <w:rPr>
          <w:sz w:val="24"/>
        </w:rPr>
      </w:pPr>
      <w:r>
        <w:rPr>
          <w:sz w:val="24"/>
        </w:rPr>
      </w:r>
    </w:p>
    <w:p>
      <w:pPr>
        <w:pStyle w:val="Normal"/>
        <w:widowControl/>
        <w:rPr>
          <w:sz w:val="24"/>
        </w:rPr>
      </w:pPr>
      <w:r>
        <w:rPr>
          <w:sz w:val="24"/>
        </w:rPr>
      </w:r>
    </w:p>
    <w:p>
      <w:pPr>
        <w:pStyle w:val="Normal"/>
        <w:widowControl/>
        <w:rPr>
          <w:sz w:val="24"/>
        </w:rPr>
      </w:pPr>
      <w:r>
        <w:rPr>
          <w:sz w:val="24"/>
        </w:rPr>
      </w:r>
    </w:p>
    <w:p>
      <w:pPr>
        <w:pStyle w:val="Normal"/>
        <w:widowControl/>
        <w:ind w:firstLine="720" w:end="0"/>
        <w:rPr>
          <w:sz w:val="24"/>
        </w:rPr>
      </w:pPr>
      <w:r>
        <w:rPr>
          <w:sz w:val="24"/>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0"/>
        </w:tabs>
        <w:ind w:start="0" w:hanging="0"/>
      </w:pPr>
    </w:lvl>
    <w:lvl w:ilvl="1">
      <w:start w:val="1"/>
      <w:numFmt w:val="decimal"/>
      <w:lvlText w:val="%2"/>
      <w:lvlJc w:val="start"/>
      <w:pPr>
        <w:tabs>
          <w:tab w:val="num" w:pos="0"/>
        </w:tabs>
        <w:ind w:start="0" w:hanging="0"/>
      </w:pPr>
    </w:lvl>
    <w:lvl w:ilvl="2">
      <w:start w:val="1"/>
      <w:numFmt w:val="decimal"/>
      <w:lvlText w:val="%3"/>
      <w:lvlJc w:val="start"/>
      <w:pPr>
        <w:tabs>
          <w:tab w:val="num" w:pos="0"/>
        </w:tabs>
        <w:ind w:start="0" w:hanging="0"/>
      </w:pPr>
    </w:lvl>
    <w:lvl w:ilvl="3">
      <w:start w:val="1"/>
      <w:numFmt w:val="decimal"/>
      <w:lvlText w:val="%4"/>
      <w:lvlJc w:val="start"/>
      <w:pPr>
        <w:tabs>
          <w:tab w:val="num" w:pos="0"/>
        </w:tabs>
        <w:ind w:start="0" w:hanging="0"/>
      </w:pPr>
    </w:lvl>
    <w:lvl w:ilvl="4">
      <w:start w:val="1"/>
      <w:numFmt w:val="decimal"/>
      <w:lvlText w:val="%5"/>
      <w:lvlJc w:val="start"/>
      <w:pPr>
        <w:tabs>
          <w:tab w:val="num" w:pos="0"/>
        </w:tabs>
        <w:ind w:start="0" w:hanging="0"/>
      </w:pPr>
    </w:lvl>
    <w:lvl w:ilvl="5">
      <w:start w:val="1"/>
      <w:numFmt w:val="decimal"/>
      <w:lvlText w:val="%6"/>
      <w:lvlJc w:val="start"/>
      <w:pPr>
        <w:tabs>
          <w:tab w:val="num" w:pos="0"/>
        </w:tabs>
        <w:ind w:start="0" w:hanging="0"/>
      </w:pPr>
    </w:lvl>
    <w:lvl w:ilvl="6">
      <w:start w:val="1"/>
      <w:numFmt w:val="decimal"/>
      <w:lvlText w:val="%7"/>
      <w:lvlJc w:val="start"/>
      <w:pPr>
        <w:tabs>
          <w:tab w:val="num" w:pos="0"/>
        </w:tabs>
        <w:ind w:start="0" w:hanging="0"/>
      </w:pPr>
    </w:lvl>
    <w:lvl w:ilvl="7">
      <w:start w:val="1"/>
      <w:numFmt w:val="decimal"/>
      <w:lvlText w:val="%8"/>
      <w:lvlJc w:val="start"/>
      <w:pPr>
        <w:tabs>
          <w:tab w:val="num" w:pos="0"/>
        </w:tabs>
        <w:ind w:start="0" w:hanging="0"/>
      </w:pPr>
    </w:lvl>
    <w:lvl w:ilvl="8">
      <w:start w:val="0"/>
      <w:numFmt w:val="decimal"/>
      <w:lvlText w:val=""/>
      <w:lvlJc w:val="start"/>
      <w:pPr>
        <w:tabs>
          <w:tab w:val="num" w:pos="0"/>
        </w:tabs>
        <w:ind w:start="0" w:hanging="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autoSpaceDE w:val="false"/>
      <w:bidi w:val="0"/>
    </w:pPr>
    <w:rPr>
      <w:rFonts w:ascii="Times New Roman" w:hAnsi="Times New Roman" w:eastAsia="Times New Roman" w:cs="Times New Roman"/>
      <w:color w:val="auto"/>
      <w:sz w:val="20"/>
      <w:szCs w:val="24"/>
      <w:lang w:val="en-US" w:bidi="ar-SA" w:eastAsia="zh-C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Level1">
    <w:name w:val="Level 1"/>
    <w:basedOn w:val="Normal"/>
    <w:qFormat/>
    <w:pPr>
      <w:numPr>
        <w:ilvl w:val="0"/>
        <w:numId w:val="1"/>
      </w:numPr>
      <w:tabs>
        <w:tab w:val="clear" w:pos="720"/>
      </w:tabs>
      <w:ind w:hanging="720" w:start="720" w:end="0"/>
      <w:outlineLvl w:val="0"/>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2001-02-16T21:26:00Z</dcterms:created>
  <dc:creator>jdasovic</dc:creator>
  <dc:description/>
  <dc:language>en-CA</dc:language>
  <cp:lastModifiedBy>rflemin</cp:lastModifiedBy>
  <dcterms:modified xsi:type="dcterms:W3CDTF">2001-02-16T21:26:00Z</dcterms:modified>
  <cp:revision>2</cp:revision>
  <dc:subject/>
  <dc:title>Talking Points for CPUC Ruling:</dc:title>
</cp:coreProperties>
</file>