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320" w:leader="none"/>
        </w:tabs>
        <w:jc w:val="both"/>
        <w:rPr/>
      </w:pPr>
      <w:r>
        <w:fldChar w:fldCharType="begin"/>
      </w:r>
      <w:r>
        <w:rPr/>
        <w:instrText xml:space="preserve">ADVANCE \y108</w:instrText>
      </w:r>
      <w:r>
        <w:rPr/>
      </w:r>
      <w:r>
        <w:rPr/>
        <w:fldChar w:fldCharType="separate"/>
      </w:r>
      <w:r>
        <w:rPr/>
      </w:r>
      <w:r>
        <w:rPr/>
      </w:r>
      <w:r>
        <w:rPr/>
        <w:fldChar w:fldCharType="end"/>
      </w:r>
      <w:r>
        <w:rPr/>
        <w:tab/>
        <w:t>M E M O R A N D U M</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left" w:pos="-1440" w:leader="none"/>
        </w:tabs>
        <w:ind w:hanging="1440" w:start="1440" w:end="0"/>
        <w:jc w:val="both"/>
        <w:rPr/>
      </w:pPr>
      <w:r>
        <w:rPr/>
        <w:t>TO:</w:t>
        <w:tab/>
        <w:tab/>
        <w:t>Becky Cantrell</w:t>
      </w:r>
    </w:p>
    <w:p>
      <w:pPr>
        <w:pStyle w:val="Normal"/>
        <w:widowControl/>
        <w:ind w:firstLine="1440" w:end="0"/>
        <w:jc w:val="both"/>
        <w:rPr/>
      </w:pPr>
      <w:r>
        <w:rPr/>
        <w:t>Steve Kean</w:t>
      </w:r>
    </w:p>
    <w:p>
      <w:pPr>
        <w:pStyle w:val="Normal"/>
        <w:widowControl/>
        <w:ind w:firstLine="1440" w:end="0"/>
        <w:jc w:val="both"/>
        <w:rPr/>
      </w:pPr>
      <w:r>
        <w:rPr/>
        <w:t>Leslie Lawner</w:t>
      </w:r>
    </w:p>
    <w:p>
      <w:pPr>
        <w:pStyle w:val="Normal"/>
        <w:widowControl/>
        <w:ind w:firstLine="1440" w:end="0"/>
        <w:jc w:val="both"/>
        <w:rPr/>
      </w:pPr>
      <w:r>
        <w:rPr/>
        <w:t>Jim Steffes</w:t>
      </w:r>
    </w:p>
    <w:p>
      <w:pPr>
        <w:pStyle w:val="Normal"/>
        <w:widowControl/>
        <w:ind w:firstLine="1440" w:end="0"/>
        <w:jc w:val="both"/>
        <w:rPr/>
      </w:pPr>
      <w:r>
        <w:rPr/>
        <w:t>Jennifer Thome</w:t>
      </w:r>
    </w:p>
    <w:p>
      <w:pPr>
        <w:pStyle w:val="Normal"/>
        <w:widowControl/>
        <w:ind w:firstLine="1440" w:end="0"/>
        <w:jc w:val="both"/>
        <w:rPr/>
      </w:pPr>
      <w:r>
        <w:rPr/>
        <w:t>Lisa Yoho</w:t>
      </w:r>
    </w:p>
    <w:p>
      <w:pPr>
        <w:pStyle w:val="Normal"/>
        <w:widowControl/>
        <w:ind w:firstLine="1440" w:end="0"/>
        <w:jc w:val="both"/>
        <w:rPr/>
      </w:pPr>
      <w:r>
        <w:rPr/>
        <w:t>Enron North America Corp.</w:t>
      </w:r>
    </w:p>
    <w:p>
      <w:pPr>
        <w:pStyle w:val="Normal"/>
        <w:widowControl/>
        <w:jc w:val="both"/>
        <w:rPr/>
      </w:pPr>
      <w:r>
        <w:rPr/>
      </w:r>
    </w:p>
    <w:p>
      <w:pPr>
        <w:pStyle w:val="Normal"/>
        <w:widowControl/>
        <w:tabs>
          <w:tab w:val="clear" w:pos="720"/>
          <w:tab w:val="left" w:pos="-1440" w:leader="none"/>
        </w:tabs>
        <w:ind w:hanging="1440" w:start="1440" w:end="0"/>
        <w:jc w:val="both"/>
        <w:rPr/>
      </w:pPr>
      <w:r>
        <w:rPr/>
        <w:t>FROM:</w:t>
        <w:tab/>
        <w:t>Randall Rich</w:t>
      </w:r>
    </w:p>
    <w:p>
      <w:pPr>
        <w:pStyle w:val="Normal"/>
        <w:widowControl/>
        <w:ind w:firstLine="1440" w:end="0"/>
        <w:jc w:val="both"/>
        <w:rPr/>
      </w:pPr>
      <w:r>
        <w:rPr/>
        <w:t>Kimberly Curry</w:t>
      </w:r>
    </w:p>
    <w:p>
      <w:pPr>
        <w:pStyle w:val="Normal"/>
        <w:widowControl/>
        <w:ind w:firstLine="1440" w:end="0"/>
        <w:jc w:val="both"/>
        <w:rPr/>
      </w:pPr>
      <w:r>
        <w:rPr/>
        <w:t>Bracewell &amp; Patterson, L.L.P.</w:t>
      </w:r>
    </w:p>
    <w:p>
      <w:pPr>
        <w:pStyle w:val="Normal"/>
        <w:widowControl/>
        <w:jc w:val="both"/>
        <w:rPr/>
      </w:pPr>
      <w:r>
        <w:rPr/>
      </w:r>
    </w:p>
    <w:p>
      <w:pPr>
        <w:pStyle w:val="Normal"/>
        <w:widowControl/>
        <w:tabs>
          <w:tab w:val="clear" w:pos="720"/>
          <w:tab w:val="left" w:pos="-1440" w:leader="none"/>
        </w:tabs>
        <w:ind w:hanging="1440" w:start="1440" w:end="0"/>
        <w:jc w:val="both"/>
        <w:rPr/>
      </w:pPr>
      <w:r>
        <w:rPr/>
        <w:t>DATE:</w:t>
        <w:tab/>
        <w:tab/>
      </w:r>
      <w:r>
        <w:rPr/>
        <w:fldChar w:fldCharType="begin"/>
      </w:r>
      <w:r>
        <w:rPr/>
        <w:instrText xml:space="preserve"> DATE \@"MMMM\ d', 'yyyy" </w:instrText>
      </w:r>
      <w:r>
        <w:rPr/>
        <w:fldChar w:fldCharType="separate"/>
      </w:r>
      <w:r>
        <w:rPr/>
        <w:t>September 28, 2025</w:t>
      </w:r>
      <w:r>
        <w:rPr/>
        <w:fldChar w:fldCharType="end"/>
      </w:r>
    </w:p>
    <w:p>
      <w:pPr>
        <w:pStyle w:val="Normal"/>
        <w:widowControl/>
        <w:jc w:val="both"/>
        <w:rPr/>
      </w:pPr>
      <w:r>
        <w:rPr/>
      </w:r>
    </w:p>
    <w:p>
      <w:pPr>
        <w:pStyle w:val="Normal"/>
        <w:widowControl/>
        <w:tabs>
          <w:tab w:val="clear" w:pos="720"/>
          <w:tab w:val="left" w:pos="-1440" w:leader="none"/>
        </w:tabs>
        <w:ind w:hanging="1440" w:start="1440" w:end="720"/>
        <w:jc w:val="both"/>
        <w:rPr/>
      </w:pPr>
      <w:r>
        <w:rPr/>
        <w:t>RE:</w:t>
        <w:tab/>
        <w:tab/>
      </w:r>
      <w:r>
        <w:rPr>
          <w:i/>
        </w:rPr>
        <w:t>CPUC v. El Paso Natural Gas Co., et al.</w:t>
      </w:r>
      <w:r>
        <w:rPr/>
        <w:t>, Docket No. RP00-214-000</w:t>
      </w:r>
    </w:p>
    <w:p>
      <w:pPr>
        <w:pStyle w:val="Normal"/>
        <w:widowControl/>
        <w:jc w:val="both"/>
        <w:rPr/>
      </w:pPr>
      <w:r>
        <w:rPr/>
      </w:r>
    </w:p>
    <w:p>
      <w:pPr>
        <w:pStyle w:val="Normal"/>
        <w:widowControl/>
        <w:ind w:firstLine="720" w:end="0"/>
        <w:jc w:val="both"/>
        <w:rPr/>
      </w:pPr>
      <w:r>
        <w:rPr/>
        <w:t>On Day 6 of the hearing in the referenced proceeding, El Paso Natural Gas Company ("EPNG") completed its case-in-chief.</w:t>
      </w:r>
    </w:p>
    <w:p>
      <w:pPr>
        <w:pStyle w:val="Normal"/>
        <w:widowControl/>
        <w:jc w:val="both"/>
        <w:rPr/>
      </w:pPr>
      <w:r>
        <w:rPr/>
      </w:r>
    </w:p>
    <w:p>
      <w:pPr>
        <w:pStyle w:val="Normal"/>
        <w:widowControl/>
        <w:ind w:firstLine="720" w:end="0"/>
        <w:jc w:val="both"/>
        <w:rPr/>
      </w:pPr>
      <w:r>
        <w:rPr/>
        <w:t xml:space="preserve">During cross-examination on Friday, counsel for the California Public Utilities Commission ("CPUC") questioned Patricia Shelton, Vice President of El Paso Corporation's Western Pipeline Group, regarding the capacity release awards on the EPNG system.  The CPUC, using data from exhibits to Ms. Shelton's testimony, concluded that out of 622 capacity release awards on the EPNG system, there were only eight transactions consummated by EPME, which suggested that EPME had not made any real attempt to market the large portion of capacity it owned.   Today, on re-direct examination, Ms. Shelton focused her testimony on the numbers of offers made by EPME, instead of the number of successful capacity awards.  On re-cross, the CPUC attempted to demonstrate that EPME had purposefully made their offers unattractive by pricing the release transactions far above the price that EPME acquired the capacity for, in an effort to hoard that capacity.  </w:t>
      </w:r>
    </w:p>
    <w:p>
      <w:pPr>
        <w:pStyle w:val="Normal"/>
        <w:widowControl/>
        <w:jc w:val="both"/>
        <w:rPr/>
      </w:pPr>
      <w:r>
        <w:rPr/>
      </w:r>
    </w:p>
    <w:p>
      <w:pPr>
        <w:sectPr>
          <w:type w:val="nextPage"/>
          <w:pgSz w:w="12240" w:h="15840"/>
          <w:pgMar w:left="1872" w:right="1728" w:gutter="0" w:header="0" w:top="960" w:footer="0" w:bottom="1728"/>
          <w:pgNumType w:fmt="decimal"/>
          <w:formProt w:val="false"/>
          <w:textDirection w:val="lrTb"/>
          <w:docGrid w:type="default" w:linePitch="360" w:charSpace="0"/>
        </w:sectPr>
      </w:pPr>
    </w:p>
    <w:p>
      <w:pPr>
        <w:pStyle w:val="Normal"/>
        <w:widowControl/>
        <w:ind w:firstLine="720" w:end="0"/>
        <w:jc w:val="both"/>
        <w:rPr/>
      </w:pPr>
      <w:r>
        <w:rPr/>
        <w:t xml:space="preserve">John Somerhalder also took the stand in EPNG's defense.  Mr. Somerhalder was questioned extensively by PG&amp;E, the CPUC, and even Judge Wagner, regarding his dual role as Executive Vice President of El Paso Corporation and Chairman of the Board of EPNG.  He was asked if he had any prior knowledge of the EPME acquisition of capacity on EPNG.  He responded that although he did attend board meetings where transactions involving EPNG and El Paso were discussed, he would always leave the room whenever any EPME matters were raised. When asked by Judge Wagner whether or not he was present at the February 14, 2000 meeting between El Paso Corporation and EPME approving the EPME acquisition of the EPNG capacity, Mr. Somerhalder responded that he was not present and was not privy to any of the discussions that occurred during that meeting. </w:t>
      </w:r>
    </w:p>
    <w:p>
      <w:pPr>
        <w:pStyle w:val="Normal"/>
        <w:widowControl/>
        <w:jc w:val="both"/>
        <w:rPr/>
      </w:pPr>
      <w:r>
        <w:rPr/>
      </w:r>
    </w:p>
    <w:p>
      <w:pPr>
        <w:pStyle w:val="Normal"/>
        <w:widowControl/>
        <w:ind w:firstLine="720" w:end="0"/>
        <w:jc w:val="both"/>
        <w:rPr/>
      </w:pPr>
      <w:r>
        <w:rPr/>
        <w:t xml:space="preserve">Mr. Somerhalder was also questioned regarding Exhibits 9 and 10 to Ms. Shelton's testimony, which showed a significant portion of unused capacity at the Mohave and PG&amp;E Topock receipt points.  Mr. Somerhalder explained that upstream constraints prevented full utilization of these points, and presented evidence that utilization of the </w:t>
      </w:r>
      <w:r>
        <w:rPr>
          <w:i/>
        </w:rPr>
        <w:t>available</w:t>
      </w:r>
      <w:r>
        <w:rPr/>
        <w:t xml:space="preserve"> capacity at these points was upwards of 98 percent.</w:t>
      </w:r>
    </w:p>
    <w:p>
      <w:pPr>
        <w:pStyle w:val="Normal"/>
        <w:widowControl/>
        <w:jc w:val="both"/>
        <w:rPr/>
      </w:pPr>
      <w:r>
        <w:rPr/>
      </w:r>
    </w:p>
    <w:p>
      <w:pPr>
        <w:pStyle w:val="Normal"/>
        <w:widowControl/>
        <w:jc w:val="both"/>
        <w:rPr/>
      </w:pPr>
      <w:r>
        <w:rPr/>
      </w:r>
    </w:p>
    <w:p>
      <w:pPr>
        <w:pStyle w:val="Normal"/>
        <w:widowControl/>
        <w:ind w:firstLine="4320" w:end="0"/>
        <w:jc w:val="both"/>
        <w:rPr/>
      </w:pPr>
      <w:r>
        <w:rPr/>
        <w:t>RSR</w:t>
      </w:r>
    </w:p>
    <w:p>
      <w:pPr>
        <w:pStyle w:val="Normal"/>
        <w:widowControl/>
        <w:ind w:firstLine="4320" w:end="0"/>
        <w:jc w:val="both"/>
        <w:rPr/>
      </w:pPr>
      <w:r>
        <w:rPr/>
        <w:t>KAC</w:t>
      </w:r>
    </w:p>
    <w:p>
      <w:pPr>
        <w:pStyle w:val="Normal"/>
        <w:widowControl/>
        <w:jc w:val="both"/>
        <w:rPr/>
      </w:pPr>
      <w:r>
        <w:rPr/>
      </w:r>
    </w:p>
    <w:p>
      <w:pPr>
        <w:pStyle w:val="Normal"/>
        <w:widowControl/>
        <w:jc w:val="both"/>
        <w:rPr/>
      </w:pPr>
      <w:r>
        <w:rPr/>
        <w:t>/kac</w:t>
      </w:r>
    </w:p>
    <w:sectPr>
      <w:type w:val="continuous"/>
      <w:pgSz w:w="12240" w:h="15840"/>
      <w:pgMar w:left="1872" w:right="1728" w:gutter="0" w:header="0" w:top="960" w:footer="0" w:bottom="172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320" w:leader="none"/>
        <w:tab w:val="right" w:pos="864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2001-05-21T23:08:00Z</dcterms:created>
  <dc:creator>vdal3</dc:creator>
  <dc:description/>
  <dc:language>en-CA</dc:language>
  <cp:lastModifiedBy>vdal3</cp:lastModifiedBy>
  <dcterms:modified xsi:type="dcterms:W3CDTF">2001-05-21T23:08:00Z</dcterms:modified>
  <cp:revision>2</cp:revision>
  <dc:subject/>
  <dc:title/>
</cp:coreProperties>
</file>