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firstLine="360" w:start="-540" w:end="-180"/>
        <w:jc w:val="center"/>
        <w:rPr>
          <w:rFonts w:ascii="Lucida Fax" w:hAnsi="Lucida Fax" w:cs="Lucida Fax"/>
          <w:b/>
          <w:sz w:val="44"/>
        </w:rPr>
      </w:pPr>
      <w:r>
        <w:rPr>
          <w:rFonts w:cs="Lucida Fax" w:ascii="Lucida Fax" w:hAnsi="Lucida Fax"/>
          <w:b/>
          <w:sz w:val="44"/>
        </w:rPr>
        <w:t xml:space="preserve">Clean Power Group </w:t>
      </w:r>
    </w:p>
    <w:p>
      <w:pPr>
        <w:pStyle w:val="Heading1"/>
        <w:ind w:firstLine="360" w:start="-540" w:end="-180"/>
        <w:jc w:val="center"/>
        <w:rPr>
          <w:rFonts w:ascii="Lucida Fax" w:hAnsi="Lucida Fax" w:cs="Lucida Fax"/>
          <w:b/>
          <w:i/>
          <w:i/>
          <w:iCs/>
          <w:sz w:val="44"/>
        </w:rPr>
      </w:pPr>
      <w:r>
        <w:rPr>
          <w:rFonts w:cs="Lucida Fax" w:ascii="Lucida Fax" w:hAnsi="Lucida Fax"/>
          <w:b/>
          <w:i/>
          <w:iCs/>
          <w:sz w:val="44"/>
        </w:rPr>
        <w:t>MultiPollutant Emission Control Strategy</w:t>
      </w:r>
    </w:p>
    <w:p>
      <w:pPr>
        <w:pStyle w:val="Normal"/>
        <w:rPr>
          <w:rFonts w:ascii="Lucida Fax" w:hAnsi="Lucida Fax" w:cs="Lucida Fax"/>
          <w:b/>
          <w:i/>
          <w:i/>
          <w:iCs/>
          <w:sz w:val="24"/>
        </w:rPr>
      </w:pPr>
      <w:r>
        <w:rPr>
          <w:rFonts w:cs="Lucida Fax" w:ascii="Lucida Fax" w:hAnsi="Lucida Fax"/>
          <w:b/>
          <w:i/>
          <w:iCs/>
          <w:sz w:val="24"/>
        </w:rPr>
      </w:r>
    </w:p>
    <w:p>
      <w:pPr>
        <w:pStyle w:val="Normal"/>
        <w:pBdr>
          <w:top w:val="single" w:sz="4" w:space="1" w:color="000000"/>
          <w:left w:val="single" w:sz="4" w:space="4" w:color="000000"/>
          <w:bottom w:val="single" w:sz="4" w:space="1" w:color="000000"/>
          <w:right w:val="single" w:sz="4" w:space="4" w:color="000000"/>
        </w:pBdr>
        <w:rPr/>
      </w:pPr>
      <w:r>
        <w:rPr>
          <w:i/>
          <w:iCs/>
          <w:sz w:val="24"/>
        </w:rPr>
        <w:t>The power generation sector is a major contributor to U.S. air pollution.  This situation has persisted for many years despite regulatory efforts to address it.  Although older plants contribute most of the emissions, attempts to remedy the problem by regulating them have created increasing legal problems and contention between industry and regulators with relatively little environmental benefit.  The uncertainty created by this situation has made it difficult for power generators to make rational business decisions about future investments in both old and new power equipment.  The existing regulatory program encourages traditional add-on controls rather than new plants, efficiency and pollution prevention approaches that are more desirable.  Neither does it encourage renewables or conservation</w:t>
      </w:r>
      <w:r>
        <w:rPr>
          <w:sz w:val="24"/>
        </w:rPr>
        <w:t xml:space="preserve">.  </w:t>
      </w:r>
    </w:p>
    <w:p>
      <w:pPr>
        <w:pStyle w:val="Normal"/>
        <w:rPr>
          <w:sz w:val="24"/>
        </w:rPr>
      </w:pPr>
      <w:r>
        <w:rPr>
          <w:sz w:val="24"/>
        </w:rPr>
      </w:r>
    </w:p>
    <w:p>
      <w:pPr>
        <w:pStyle w:val="Heading3"/>
        <w:ind w:hanging="0" w:start="0"/>
        <w:rPr/>
      </w:pPr>
      <w:r>
        <w:rPr/>
        <w:t>A New Approach is Needed</w:t>
      </w:r>
    </w:p>
    <w:p>
      <w:pPr>
        <w:pStyle w:val="Normal"/>
        <w:rPr/>
      </w:pPr>
      <w:r>
        <w:rPr>
          <w:sz w:val="24"/>
        </w:rPr>
        <w:t>The combination of the shortcomings of current regulatory programs, the need for certainty, and knowledge of upcoming requirements for mercury and CO</w:t>
      </w:r>
      <w:r>
        <w:rPr>
          <w:sz w:val="24"/>
          <w:vertAlign w:val="subscript"/>
        </w:rPr>
        <w:t>2</w:t>
      </w:r>
      <w:r>
        <w:rPr>
          <w:sz w:val="24"/>
        </w:rPr>
        <w:t xml:space="preserve"> reductions have resulted in agreement between industry, regulators, and environmental groups that an alternative multipollutant regulatory approach is needed.  The broad parameters of such a program are generally agreed to be:</w:t>
      </w:r>
    </w:p>
    <w:p>
      <w:pPr>
        <w:pStyle w:val="Normal"/>
        <w:rPr>
          <w:sz w:val="24"/>
        </w:rPr>
      </w:pPr>
      <w:r>
        <w:rPr>
          <w:sz w:val="24"/>
        </w:rPr>
      </w:r>
    </w:p>
    <w:p>
      <w:pPr>
        <w:pStyle w:val="Bullet1"/>
        <w:numPr>
          <w:ilvl w:val="0"/>
          <w:numId w:val="2"/>
        </w:numPr>
        <w:ind w:hanging="0" w:start="0"/>
        <w:rPr>
          <w:sz w:val="24"/>
        </w:rPr>
      </w:pPr>
      <w:r>
        <w:rPr>
          <w:sz w:val="24"/>
        </w:rPr>
        <w:t>Commitment to future emission caps on multiple pollutants.</w:t>
      </w:r>
    </w:p>
    <w:p>
      <w:pPr>
        <w:pStyle w:val="Bullet1"/>
        <w:numPr>
          <w:ilvl w:val="0"/>
          <w:numId w:val="2"/>
        </w:numPr>
        <w:ind w:hanging="0" w:start="0"/>
        <w:rPr>
          <w:sz w:val="24"/>
        </w:rPr>
      </w:pPr>
      <w:r>
        <w:rPr>
          <w:sz w:val="24"/>
        </w:rPr>
        <w:t>Implementation through a cap and trade program.</w:t>
      </w:r>
    </w:p>
    <w:p>
      <w:pPr>
        <w:pStyle w:val="Bullet1"/>
        <w:numPr>
          <w:ilvl w:val="0"/>
          <w:numId w:val="2"/>
        </w:numPr>
        <w:ind w:hanging="0" w:start="0"/>
        <w:rPr>
          <w:sz w:val="24"/>
        </w:rPr>
      </w:pPr>
      <w:r>
        <w:rPr>
          <w:sz w:val="24"/>
        </w:rPr>
        <w:t>Relief from NSR requirements.</w:t>
      </w:r>
    </w:p>
    <w:p>
      <w:pPr>
        <w:pStyle w:val="Bullet1"/>
        <w:numPr>
          <w:ilvl w:val="0"/>
          <w:numId w:val="0"/>
        </w:numPr>
        <w:ind w:hanging="0" w:start="0"/>
        <w:rPr>
          <w:sz w:val="24"/>
        </w:rPr>
      </w:pPr>
      <w:r>
        <w:rPr>
          <w:sz w:val="24"/>
        </w:rPr>
      </w:r>
    </w:p>
    <w:p>
      <w:pPr>
        <w:pStyle w:val="Normal"/>
        <w:rPr>
          <w:sz w:val="24"/>
        </w:rPr>
      </w:pPr>
      <w:r>
        <w:rPr>
          <w:sz w:val="24"/>
        </w:rPr>
        <w:t xml:space="preserve">The Bush campaign platform included these and added support for renewables and other new, clean technologies.  </w:t>
      </w:r>
    </w:p>
    <w:p>
      <w:pPr>
        <w:pStyle w:val="Normal"/>
        <w:rPr>
          <w:sz w:val="24"/>
        </w:rPr>
      </w:pPr>
      <w:r>
        <w:rPr>
          <w:sz w:val="24"/>
        </w:rPr>
      </w:r>
    </w:p>
    <w:p>
      <w:pPr>
        <w:pStyle w:val="Heading3"/>
        <w:ind w:hanging="0" w:start="0"/>
        <w:rPr/>
      </w:pPr>
      <w:r>
        <w:rPr/>
        <w:t>Multipollutant Strategies</w:t>
      </w:r>
    </w:p>
    <w:p>
      <w:pPr>
        <w:pStyle w:val="Normal"/>
        <w:rPr>
          <w:sz w:val="24"/>
        </w:rPr>
      </w:pPr>
      <w:r>
        <w:rPr>
          <w:sz w:val="24"/>
        </w:rPr>
        <w:t>A number of multi-pollutant proposals have been put forward by entities including the EPA, industry and Congress.  None to date however meet all of the requirements.  Most focus on cleaning up and providing regulatory relief to the old plants while giving little economic or regulatory support to new cleaner plants or renewables.  Many also have little focus on NSR reform.  Focusing only on the old plants will result in some emission reductions but will further extend the life of old inefficient plants and slow the needed capital turnover to new technologies.  The long-term solution to air pollution problems requires a transition to cleaner and more efficient technologies, which may actually be delayed by the focus on old plants.  What is needed is a program that provides both regulatory and economic change.</w:t>
      </w:r>
    </w:p>
    <w:p>
      <w:pPr>
        <w:pStyle w:val="Normal"/>
        <w:rPr>
          <w:sz w:val="24"/>
        </w:rPr>
      </w:pPr>
      <w:r>
        <w:rPr>
          <w:sz w:val="24"/>
        </w:rPr>
      </w:r>
    </w:p>
    <w:p>
      <w:pPr>
        <w:pStyle w:val="Normal"/>
        <w:rPr>
          <w:sz w:val="24"/>
        </w:rPr>
      </w:pPr>
      <w:r>
        <w:rPr>
          <w:sz w:val="24"/>
        </w:rPr>
        <w:t>The Clean Power Group has developed a comprehensive multipollutant approach for power generation that addresses all of these issues.  It uses a cap and trade regulatory approach that includes old and new sources, renewables and conservation and replaces existing command and control structures with flexible market-based approaches that provide the same environmental benefits with greater economic and regulatory efficiency.</w:t>
      </w:r>
    </w:p>
    <w:p>
      <w:pPr>
        <w:pStyle w:val="Normal"/>
        <w:rPr>
          <w:bCs/>
          <w:sz w:val="24"/>
        </w:rPr>
      </w:pPr>
      <w:r>
        <w:rPr>
          <w:bCs/>
          <w:sz w:val="24"/>
        </w:rPr>
      </w:r>
    </w:p>
    <w:p>
      <w:pPr>
        <w:pStyle w:val="Heading4"/>
        <w:ind w:hanging="0" w:start="0"/>
        <w:rPr>
          <w:b w:val="false"/>
          <w:bCs/>
        </w:rPr>
      </w:pPr>
      <w:r>
        <w:rPr>
          <w:b w:val="false"/>
          <w:bCs/>
        </w:rPr>
        <w:t>Structure of the Clean Power Group Proposal</w:t>
      </w:r>
    </w:p>
    <w:p>
      <w:pPr>
        <w:pStyle w:val="Normal"/>
        <w:rPr/>
      </w:pPr>
      <w:r>
        <w:rPr>
          <w:sz w:val="24"/>
        </w:rPr>
        <w:t>We propose continuous declining caps for SO</w:t>
      </w:r>
      <w:r>
        <w:rPr>
          <w:sz w:val="24"/>
          <w:vertAlign w:val="subscript"/>
        </w:rPr>
        <w:t>2</w:t>
      </w:r>
      <w:r>
        <w:rPr>
          <w:sz w:val="24"/>
        </w:rPr>
        <w:t>, NO</w:t>
      </w:r>
      <w:r>
        <w:rPr>
          <w:sz w:val="24"/>
          <w:vertAlign w:val="subscript"/>
        </w:rPr>
        <w:t>x</w:t>
      </w:r>
      <w:r>
        <w:rPr>
          <w:sz w:val="24"/>
        </w:rPr>
        <w:t xml:space="preserve">, mercury and with the “glide slope” of the decline known well in advance.  The caps for each pollutant become tighter each year.  With the continuous declining cap we propose a cost “circuit breaker” that stops the tightening for each pollutant if the average cost of allowances exceeds a predetermined cost threshold.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sz w:val="24"/>
        </w:rPr>
        <w:t>This approach provides real, measurable emission reductions that continue to promote new generation and emission control technologies.  The economy is protected from unreasonable costs of control while environmental performance improvement will continue indefinitely as long as costs of reductions (allowances) are reasonable.  While the Clean Power Group does not advocate for mandatory CO</w:t>
      </w:r>
      <w:r>
        <w:rPr>
          <w:sz w:val="24"/>
          <w:vertAlign w:val="subscript"/>
        </w:rPr>
        <w:t xml:space="preserve">2 </w:t>
      </w:r>
      <w:r>
        <w:rPr>
          <w:sz w:val="24"/>
        </w:rPr>
        <w:t>caps, this proposal offers a useful model.</w:t>
      </w:r>
    </w:p>
    <w:p>
      <w:pPr>
        <w:pStyle w:val="Normal"/>
        <w:rPr>
          <w:sz w:val="24"/>
        </w:rPr>
      </w:pPr>
      <w:r>
        <w:rPr>
          <w:sz w:val="24"/>
        </w:rPr>
      </w:r>
    </w:p>
    <w:p>
      <w:pPr>
        <w:pStyle w:val="Heading3"/>
        <w:ind w:hanging="0" w:start="0"/>
        <w:rPr/>
      </w:pPr>
      <w:r>
        <w:rPr/>
        <w:t>New Source Review Reform and Environmental Backstops</w:t>
      </w:r>
    </w:p>
    <w:p>
      <w:pPr>
        <w:pStyle w:val="Normal"/>
        <w:rPr>
          <w:sz w:val="24"/>
        </w:rPr>
      </w:pPr>
      <w:r>
        <w:rPr>
          <w:sz w:val="24"/>
        </w:rPr>
        <w:t>BACT and LAER are replaced for all covered sources because the declining caps provide a better form of progressive emission reduction.  Review of local impacts will be maintained to prevent hot spots.  New Source Performance Standards (NSPS) will be maintained to ensure that there is some emission rate “backstop”.</w:t>
      </w:r>
    </w:p>
    <w:p>
      <w:pPr>
        <w:pStyle w:val="Normal"/>
        <w:rPr>
          <w:sz w:val="24"/>
        </w:rPr>
      </w:pPr>
      <w:r>
        <w:rPr>
          <w:sz w:val="24"/>
        </w:rPr>
      </w:r>
    </w:p>
    <w:p>
      <w:pPr>
        <w:pStyle w:val="Heading3"/>
        <w:ind w:hanging="0" w:start="0"/>
        <w:rPr/>
      </w:pPr>
      <w:r>
        <w:rPr/>
        <w:t>Allowance Allocations</w:t>
      </w:r>
    </w:p>
    <w:p>
      <w:pPr>
        <w:pStyle w:val="Normal"/>
        <w:rPr/>
      </w:pPr>
      <w:r>
        <w:rPr>
          <w:sz w:val="24"/>
        </w:rPr>
        <w:t xml:space="preserve">Allocation of allowances will be made on a consistent output basis to </w:t>
      </w:r>
      <w:r>
        <w:rPr>
          <w:sz w:val="24"/>
          <w:u w:val="single"/>
        </w:rPr>
        <w:t>all</w:t>
      </w:r>
      <w:r>
        <w:rPr>
          <w:sz w:val="24"/>
        </w:rPr>
        <w:t xml:space="preserve"> generators and for end use efficiency measures.  Allocation in this manner equally rewards highly controlled and highly efficient generators as well as renewables and conservation, which encourages modernization of our nation’s energy infrastructure.</w:t>
      </w:r>
    </w:p>
    <w:p>
      <w:pPr>
        <w:pStyle w:val="Normal"/>
        <w:rPr>
          <w:sz w:val="24"/>
        </w:rPr>
      </w:pPr>
      <w:r>
        <w:rPr>
          <w:sz w:val="24"/>
        </w:rPr>
      </w:r>
    </w:p>
    <w:p>
      <w:pPr>
        <w:pStyle w:val="Normal"/>
        <w:rPr>
          <w:b/>
          <w:sz w:val="24"/>
        </w:rPr>
      </w:pPr>
      <w:r>
        <w:rPr>
          <w:b/>
          <w:sz w:val="24"/>
        </w:rPr>
        <w:t>Key Messages:</w:t>
      </w:r>
    </w:p>
    <w:p>
      <w:pPr>
        <w:pStyle w:val="Bullet1"/>
        <w:numPr>
          <w:ilvl w:val="0"/>
          <w:numId w:val="2"/>
        </w:numPr>
        <w:ind w:hanging="0" w:start="0"/>
        <w:rPr>
          <w:sz w:val="24"/>
        </w:rPr>
      </w:pPr>
      <w:r>
        <w:rPr>
          <w:sz w:val="24"/>
        </w:rPr>
        <w:t>The replacement of disjointed and conflicting emission control policies and initiatives with a coordinated multi-pollutant emission control strategy provides better environmental performance at a lower cost.</w:t>
      </w:r>
    </w:p>
    <w:p>
      <w:pPr>
        <w:pStyle w:val="Bullet1"/>
        <w:numPr>
          <w:ilvl w:val="0"/>
          <w:numId w:val="2"/>
        </w:numPr>
        <w:ind w:hanging="0" w:start="0"/>
        <w:rPr>
          <w:sz w:val="24"/>
        </w:rPr>
      </w:pPr>
      <w:r>
        <w:rPr>
          <w:sz w:val="24"/>
        </w:rPr>
        <w:t>A viable multi-pollutant approach must address and encourage the development of modern, cleaner, and more efficient energy generation using all fuels as well as the control of emissions from existing power generation sources.</w:t>
      </w:r>
    </w:p>
    <w:p>
      <w:pPr>
        <w:pStyle w:val="Bullet1"/>
        <w:numPr>
          <w:ilvl w:val="0"/>
          <w:numId w:val="2"/>
        </w:numPr>
        <w:ind w:hanging="0" w:start="0"/>
        <w:rPr>
          <w:sz w:val="24"/>
        </w:rPr>
      </w:pPr>
      <w:r>
        <w:rPr>
          <w:sz w:val="24"/>
        </w:rPr>
        <w:t xml:space="preserve">Higher efficiency and lower emitting generators using all available energy sources are key to meeting long-term emissions goals economically.  </w:t>
      </w:r>
    </w:p>
    <w:p>
      <w:pPr>
        <w:pStyle w:val="Bullet1"/>
        <w:numPr>
          <w:ilvl w:val="0"/>
          <w:numId w:val="2"/>
        </w:numPr>
        <w:ind w:hanging="0" w:start="0"/>
        <w:rPr>
          <w:sz w:val="24"/>
        </w:rPr>
      </w:pPr>
      <w:r>
        <w:rPr>
          <w:sz w:val="24"/>
        </w:rPr>
        <w:t>A cap and trade, multi-pollutant approach can be better for the environment than command and control regulations as well as economically more efficient.</w:t>
      </w:r>
    </w:p>
    <w:p>
      <w:pPr>
        <w:pStyle w:val="Bullet1"/>
        <w:numPr>
          <w:ilvl w:val="0"/>
          <w:numId w:val="2"/>
        </w:numPr>
        <w:ind w:hanging="0" w:start="0"/>
        <w:rPr>
          <w:sz w:val="24"/>
        </w:rPr>
      </w:pPr>
      <w:r>
        <w:rPr>
          <w:sz w:val="24"/>
        </w:rPr>
        <w:t xml:space="preserve">Appropriately designed cap and trade programs can provide the same or better environmental protection and technology-forcing function as traditional New Source Review (NSR) while reducing regulatory overhead, reducing total control costs and promoting investment in modern, efficient energy systems. </w:t>
      </w:r>
    </w:p>
    <w:p>
      <w:pPr>
        <w:pStyle w:val="Bullet1"/>
        <w:numPr>
          <w:ilvl w:val="0"/>
          <w:numId w:val="2"/>
        </w:numPr>
        <w:ind w:hanging="0" w:start="0"/>
        <w:rPr>
          <w:sz w:val="24"/>
        </w:rPr>
      </w:pPr>
      <w:r>
        <w:rPr>
          <w:sz w:val="24"/>
        </w:rPr>
        <w:t>The gradual approach spurs the development of new technologies.</w:t>
      </w:r>
    </w:p>
    <w:p>
      <w:pPr>
        <w:pStyle w:val="Bullet1"/>
        <w:numPr>
          <w:ilvl w:val="0"/>
          <w:numId w:val="2"/>
        </w:numPr>
        <w:ind w:hanging="0" w:start="0"/>
        <w:rPr>
          <w:sz w:val="24"/>
        </w:rPr>
      </w:pPr>
      <w:r>
        <w:rPr>
          <w:sz w:val="24"/>
        </w:rPr>
        <w:t>The declining cap with a cost circuit breaker could provide an alternative approach to carbon mitigation that provides real reductions, without a link to Kyoto and without economic risk to the U.S.</w:t>
      </w:r>
    </w:p>
    <w:p>
      <w:pPr>
        <w:pStyle w:val="Bullet1"/>
        <w:numPr>
          <w:ilvl w:val="0"/>
          <w:numId w:val="0"/>
        </w:numPr>
        <w:ind w:hanging="0" w:start="0"/>
        <w:rPr>
          <w:sz w:val="24"/>
        </w:rPr>
      </w:pPr>
      <w:r>
        <w:rPr>
          <w:sz w:val="24"/>
        </w:rPr>
      </w:r>
    </w:p>
    <w:p>
      <w:pPr>
        <w:pStyle w:val="Bullet1"/>
        <w:numPr>
          <w:ilvl w:val="0"/>
          <w:numId w:val="0"/>
        </w:numPr>
        <w:ind w:hanging="0" w:start="0"/>
        <w:rPr>
          <w:sz w:val="24"/>
        </w:rPr>
      </w:pPr>
      <w:r>
        <w:rPr>
          <w:sz w:val="24"/>
        </w:rPr>
        <w:t>Members of the Clean Power Group include:</w:t>
      </w:r>
    </w:p>
    <w:p>
      <w:pPr>
        <w:pStyle w:val="Bullet1"/>
        <w:numPr>
          <w:ilvl w:val="0"/>
          <w:numId w:val="0"/>
        </w:numPr>
        <w:ind w:hanging="0" w:start="0"/>
        <w:rPr>
          <w:sz w:val="24"/>
        </w:rPr>
      </w:pPr>
      <w:r>
        <w:rPr>
          <w:sz w:val="24"/>
        </w:rPr>
      </w:r>
    </w:p>
    <w:p>
      <w:pPr>
        <w:sectPr>
          <w:type w:val="nextPage"/>
          <w:pgSz w:w="12240" w:h="15840"/>
          <w:pgMar w:left="1440" w:right="1440" w:gutter="0" w:header="0" w:top="720" w:footer="0" w:bottom="720"/>
          <w:pgBorders w:display="allPages" w:offsetFrom="page">
            <w:top w:val="single" w:sz="8" w:space="24" w:color="000000"/>
            <w:left w:val="single" w:sz="8" w:space="24" w:color="000000"/>
            <w:bottom w:val="single" w:sz="8" w:space="24" w:color="000000"/>
            <w:right w:val="single" w:sz="8" w:space="24" w:color="000000"/>
          </w:pgBorders>
          <w:pgNumType w:fmt="decimal"/>
          <w:formProt w:val="false"/>
          <w:textDirection w:val="lrTb"/>
          <w:docGrid w:type="default" w:linePitch="360" w:charSpace="0"/>
        </w:sectPr>
      </w:pPr>
    </w:p>
    <w:p>
      <w:pPr>
        <w:pStyle w:val="Bullet1"/>
        <w:numPr>
          <w:ilvl w:val="0"/>
          <w:numId w:val="2"/>
        </w:numPr>
        <w:ind w:hanging="0" w:start="0"/>
        <w:rPr>
          <w:sz w:val="24"/>
        </w:rPr>
      </w:pPr>
      <w:r>
        <w:rPr>
          <w:sz w:val="24"/>
        </w:rPr>
        <w:t>Calpine</w:t>
      </w:r>
    </w:p>
    <w:p>
      <w:pPr>
        <w:pStyle w:val="Bullet1"/>
        <w:numPr>
          <w:ilvl w:val="0"/>
          <w:numId w:val="2"/>
        </w:numPr>
        <w:ind w:hanging="0" w:start="0"/>
        <w:rPr>
          <w:sz w:val="24"/>
        </w:rPr>
      </w:pPr>
      <w:r>
        <w:rPr>
          <w:sz w:val="24"/>
        </w:rPr>
        <w:t>El Paso Corp.</w:t>
      </w:r>
    </w:p>
    <w:p>
      <w:pPr>
        <w:pStyle w:val="Bullet1"/>
        <w:numPr>
          <w:ilvl w:val="0"/>
          <w:numId w:val="2"/>
        </w:numPr>
        <w:ind w:hanging="0" w:start="0"/>
        <w:rPr>
          <w:sz w:val="24"/>
        </w:rPr>
      </w:pPr>
      <w:r>
        <w:rPr>
          <w:sz w:val="24"/>
        </w:rPr>
        <w:t>Enron Corp.</w:t>
      </w:r>
    </w:p>
    <w:p>
      <w:pPr>
        <w:pStyle w:val="Bullet1"/>
        <w:numPr>
          <w:ilvl w:val="0"/>
          <w:numId w:val="2"/>
        </w:numPr>
        <w:ind w:hanging="0" w:start="0"/>
        <w:rPr>
          <w:sz w:val="24"/>
        </w:rPr>
      </w:pPr>
      <w:r>
        <w:rPr>
          <w:sz w:val="24"/>
        </w:rPr>
        <w:t>NiSource</w:t>
      </w:r>
    </w:p>
    <w:p>
      <w:pPr>
        <w:pStyle w:val="Bullet1"/>
        <w:numPr>
          <w:ilvl w:val="0"/>
          <w:numId w:val="2"/>
        </w:numPr>
        <w:ind w:hanging="0" w:start="0"/>
        <w:rPr>
          <w:sz w:val="24"/>
        </w:rPr>
      </w:pPr>
      <w:r>
        <w:rPr>
          <w:sz w:val="24"/>
        </w:rPr>
        <w:t>Trigen Energy Corp.</w:t>
      </w:r>
    </w:p>
    <w:p>
      <w:pPr>
        <w:sectPr>
          <w:type w:val="continuous"/>
          <w:pgSz w:w="12240" w:h="15840"/>
          <w:pgMar w:left="2400" w:right="2400" w:gutter="0" w:header="0" w:top="720" w:footer="0" w:bottom="720"/>
          <w:cols w:num="3" w:space="708" w:equalWidth="true" w:sep="false"/>
          <w:formProt w:val="false"/>
          <w:textDirection w:val="lrTb"/>
          <w:docGrid w:type="default" w:linePitch="360" w:charSpace="0"/>
        </w:sectPr>
      </w:pPr>
    </w:p>
    <w:p>
      <w:pPr>
        <w:pStyle w:val="Bullet1"/>
        <w:numPr>
          <w:ilvl w:val="0"/>
          <w:numId w:val="0"/>
        </w:numPr>
        <w:ind w:hanging="0" w:start="0"/>
        <w:jc w:val="center"/>
        <w:rPr>
          <w:sz w:val="24"/>
        </w:rPr>
      </w:pPr>
      <w:r>
        <w:rPr>
          <w:sz w:val="24"/>
        </w:rPr>
      </w:r>
    </w:p>
    <w:p>
      <w:pPr>
        <w:pStyle w:val="Bullet1"/>
        <w:numPr>
          <w:ilvl w:val="0"/>
          <w:numId w:val="0"/>
        </w:numPr>
        <w:ind w:hanging="0" w:start="0"/>
        <w:jc w:val="center"/>
        <w:rPr>
          <w:sz w:val="24"/>
        </w:rPr>
      </w:pPr>
      <w:r>
        <w:rPr>
          <w:sz w:val="24"/>
        </w:rPr>
      </w:r>
    </w:p>
    <w:p>
      <w:pPr>
        <w:pStyle w:val="Bullet1"/>
        <w:numPr>
          <w:ilvl w:val="0"/>
          <w:numId w:val="0"/>
        </w:numPr>
        <w:ind w:hanging="0" w:start="0"/>
        <w:jc w:val="center"/>
        <w:rPr>
          <w:sz w:val="24"/>
        </w:rPr>
      </w:pPr>
      <w:r>
        <w:rPr>
          <w:sz w:val="24"/>
        </w:rPr>
        <w:t>For more information contact:</w:t>
      </w:r>
    </w:p>
    <w:p>
      <w:pPr>
        <w:pStyle w:val="Bullet1"/>
        <w:numPr>
          <w:ilvl w:val="0"/>
          <w:numId w:val="0"/>
        </w:numPr>
        <w:ind w:hanging="0" w:start="0"/>
        <w:jc w:val="center"/>
        <w:rPr>
          <w:sz w:val="24"/>
        </w:rPr>
      </w:pPr>
      <w:r>
        <w:rPr>
          <w:sz w:val="24"/>
        </w:rPr>
        <w:t>Joel Bluestein</w:t>
      </w:r>
    </w:p>
    <w:p>
      <w:pPr>
        <w:pStyle w:val="Bullet1"/>
        <w:numPr>
          <w:ilvl w:val="0"/>
          <w:numId w:val="0"/>
        </w:numPr>
        <w:ind w:hanging="0" w:start="0"/>
        <w:jc w:val="center"/>
        <w:rPr>
          <w:sz w:val="24"/>
        </w:rPr>
      </w:pPr>
      <w:r>
        <w:rPr>
          <w:sz w:val="24"/>
        </w:rPr>
        <w:t>(703) 528-1900</w:t>
      </w:r>
    </w:p>
    <w:p>
      <w:pPr>
        <w:pStyle w:val="Bullet1"/>
        <w:numPr>
          <w:ilvl w:val="0"/>
          <w:numId w:val="0"/>
        </w:numPr>
        <w:ind w:hanging="0" w:start="0"/>
        <w:jc w:val="center"/>
        <w:rPr>
          <w:sz w:val="24"/>
        </w:rPr>
      </w:pPr>
      <w:r>
        <w:rPr>
          <w:sz w:val="24"/>
        </w:rPr>
        <w:t>jbluestein@eea-inc.com</w:t>
      </w:r>
    </w:p>
    <w:sectPr>
      <w:type w:val="continuous"/>
      <w:pgSz w:w="12240" w:h="15840"/>
      <w:pgMar w:left="2400" w:right="2400" w:gutter="0" w:header="0" w:top="720" w:footer="0"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ucida Fax">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ind w:firstLine="720" w:start="2160" w:end="0"/>
      <w:outlineLvl w:val="1"/>
    </w:pPr>
    <w:rPr>
      <w:sz w:val="24"/>
      <w:u w:val="single"/>
    </w:rPr>
  </w:style>
  <w:style w:type="paragraph" w:styleId="Heading3">
    <w:name w:val="heading 3"/>
    <w:basedOn w:val="Normal"/>
    <w:next w:val="Normal"/>
    <w:qFormat/>
    <w:pPr>
      <w:keepNext w:val="true"/>
      <w:numPr>
        <w:ilvl w:val="2"/>
        <w:numId w:val="1"/>
      </w:numPr>
      <w:outlineLvl w:val="2"/>
    </w:pPr>
    <w:rPr>
      <w:b/>
      <w:bCs/>
      <w:sz w:val="24"/>
    </w:rPr>
  </w:style>
  <w:style w:type="paragraph" w:styleId="Heading4">
    <w:name w:val="heading 4"/>
    <w:basedOn w:val="Normal"/>
    <w:next w:val="Normal"/>
    <w:qFormat/>
    <w:pPr>
      <w:keepNext w:val="true"/>
      <w:numPr>
        <w:ilvl w:val="3"/>
        <w:numId w:val="1"/>
      </w:numPr>
      <w:outlineLvl w:val="3"/>
    </w:pPr>
    <w:rPr>
      <w:b/>
      <w:i/>
      <w:iCs/>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2880" w:end="0"/>
    </w:pPr>
    <w:rPr>
      <w:sz w:val="24"/>
    </w:rPr>
  </w:style>
  <w:style w:type="paragraph" w:styleId="BodyTextIndent2">
    <w:name w:val="Body Text Indent 2"/>
    <w:basedOn w:val="Normal"/>
    <w:qFormat/>
    <w:pPr>
      <w:ind w:hanging="0" w:start="2880" w:end="0"/>
    </w:pPr>
    <w:rPr>
      <w:sz w:val="24"/>
    </w:rPr>
  </w:style>
  <w:style w:type="paragraph" w:styleId="BodyTextIndent3">
    <w:name w:val="Body Text Indent 3"/>
    <w:basedOn w:val="Normal"/>
    <w:qFormat/>
    <w:pPr>
      <w:ind w:hanging="2880" w:start="2160" w:end="0"/>
    </w:pPr>
    <w:rPr>
      <w:sz w:val="24"/>
    </w:rPr>
  </w:style>
  <w:style w:type="paragraph" w:styleId="Bullet1">
    <w:name w:val="Bullet #1"/>
    <w:basedOn w:val="Normal"/>
    <w:qFormat/>
    <w:pPr>
      <w:numPr>
        <w:ilvl w:val="0"/>
        <w:numId w:val="2"/>
      </w:numPr>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2001-06-21T17:55:00Z</dcterms:created>
  <dc:creator>Mark, Hall</dc:creator>
  <dc:description/>
  <dc:language>en-CA</dc:language>
  <cp:lastModifiedBy>ljacobso</cp:lastModifiedBy>
  <cp:lastPrinted>2001-06-21T16:34:00Z</cp:lastPrinted>
  <dcterms:modified xsi:type="dcterms:W3CDTF">2001-06-21T18:07:00Z</dcterms:modified>
  <cp:revision>5</cp:revision>
  <dc:subject/>
  <dc:title>Clean Power Group’s Multipollutant Emission Control Strategy</dc:title>
</cp:coreProperties>
</file>