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w:t>
        <w:tab/>
        <w:t>92 FERC ¶ 62,068</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TCP Gathering Company</w:t>
        <w:tab/>
        <w:tab/>
        <w:tab/>
        <w:tab/>
        <w:tab/>
        <w:tab/>
        <w:t>Docket No. CP00-372-000</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ORDER APPROVING ABANDONMENT</w:t>
      </w:r>
    </w:p>
    <w:p>
      <w:pPr>
        <w:pStyle w:val="Normal"/>
        <w:widowControl/>
        <w:tabs>
          <w:tab w:val="clear" w:pos="720"/>
          <w:tab w:val="center" w:pos="4680" w:leader="none"/>
        </w:tabs>
        <w:rPr>
          <w:sz w:val="26"/>
        </w:rPr>
      </w:pPr>
      <w:r>
        <w:rPr>
          <w:sz w:val="26"/>
        </w:rPr>
        <w:tab/>
        <w:t>(July 28,  2000)</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720" w:end="0"/>
        <w:rPr>
          <w:sz w:val="26"/>
        </w:rPr>
      </w:pPr>
      <w:r>
        <w:rPr>
          <w:sz w:val="26"/>
        </w:rPr>
        <w:t>This order grants, subject to certain conditions, the authority requested on May 31, 2000, by TCP Gathering Company (TCP Gathering) in the above docket.</w:t>
      </w:r>
    </w:p>
    <w:p>
      <w:pPr>
        <w:pStyle w:val="Normal"/>
        <w:widowControl/>
        <w:rPr>
          <w:sz w:val="26"/>
        </w:rPr>
      </w:pPr>
      <w:r>
        <w:rPr>
          <w:sz w:val="26"/>
        </w:rPr>
      </w:r>
    </w:p>
    <w:p>
      <w:pPr>
        <w:pStyle w:val="Normal"/>
        <w:widowControl/>
        <w:rPr>
          <w:sz w:val="26"/>
        </w:rPr>
      </w:pPr>
      <w:r>
        <w:rPr>
          <w:b/>
          <w:sz w:val="26"/>
          <w:u w:val="single"/>
        </w:rPr>
        <w:t>Proposal/Discussion:</w:t>
      </w:r>
    </w:p>
    <w:p>
      <w:pPr>
        <w:pStyle w:val="Normal"/>
        <w:widowControl/>
        <w:rPr>
          <w:sz w:val="26"/>
        </w:rPr>
      </w:pPr>
      <w:r>
        <w:rPr>
          <w:sz w:val="26"/>
        </w:rPr>
      </w:r>
    </w:p>
    <w:p>
      <w:pPr>
        <w:pStyle w:val="Normal"/>
        <w:widowControl/>
        <w:ind w:firstLine="720" w:end="0"/>
        <w:rPr/>
      </w:pPr>
      <w:r>
        <w:rPr>
          <w:sz w:val="26"/>
        </w:rPr>
        <w:t xml:space="preserve">TCP Gathering proposes to abandon its certificated interstate natural gas transportation service and facilities </w:t>
      </w:r>
      <w:r>
        <w:rPr>
          <w:rStyle w:val="FootnoteCharacters"/>
          <w:rStyle w:val="FootnoteReference"/>
          <w:b/>
          <w:sz w:val="31"/>
          <w:vertAlign w:val="superscript"/>
        </w:rPr>
        <w:footnoteReference w:id="2"/>
      </w:r>
      <w:r>
        <w:rPr>
          <w:sz w:val="26"/>
        </w:rPr>
        <w:t xml:space="preserve"> for the purpose of operating the facilities as gathering facilities exempt from the Commission's jurisdiction pursuant to Section 1(b) of the Natural Gas Act (NGA).  Authority for cancellation of TCP Gathering's FERC Gas Tariff is also requested.  TCP Gathering is a wholly owned subsidiary of Tom Brown, Inc. (Tom Brown), a natural gas producer, gatherer, and processor. </w:t>
      </w:r>
      <w:r>
        <w:rPr>
          <w:rStyle w:val="FootnoteCharacters"/>
          <w:rStyle w:val="FootnoteReference"/>
          <w:b/>
          <w:sz w:val="31"/>
          <w:vertAlign w:val="superscript"/>
        </w:rPr>
        <w:footnoteReference w:id="3"/>
      </w:r>
      <w:r>
        <w:rPr>
          <w:sz w:val="26"/>
        </w:rPr>
        <w:t xml:space="preserve">  Tom Brown owns no facilities other than TCP Gathering that are subject to the Commission's NGA jurisdiction.</w:t>
      </w:r>
    </w:p>
    <w:p>
      <w:pPr>
        <w:pStyle w:val="Normal"/>
        <w:widowControl/>
        <w:rPr>
          <w:sz w:val="26"/>
        </w:rPr>
      </w:pPr>
      <w:r>
        <w:rPr>
          <w:sz w:val="26"/>
        </w:rPr>
      </w:r>
    </w:p>
    <w:p>
      <w:pPr>
        <w:pStyle w:val="Normal"/>
        <w:widowControl/>
        <w:ind w:firstLine="720" w:end="0"/>
        <w:rPr>
          <w:sz w:val="26"/>
        </w:rPr>
      </w:pPr>
      <w:r>
        <w:rPr>
          <w:sz w:val="26"/>
        </w:rPr>
        <w:t>TCP Gathering's system, located in San Juan County, Utah and San Miguel County, Colorado, consists of 24 miles of 8-inch pipeline and 4 miles of 4-inch pipeline, with no compression facilities.  Currently, TCP Gathering has only one customer who transports gas, under a month-to-month interruptible transportation contract, from one well in Utah to an interconnection with Rocky Mountain Natural Gas Company's intrastate pipeline facilities in Colorado.  TCP Gathering states that, after the requested abandonment, it will provide gathering service to that customer at rates, terms and conditions equivalent to the current interruptible transportation service, and that the customer has agreed to the arrangement.</w:t>
      </w:r>
    </w:p>
    <w:p>
      <w:pPr>
        <w:pStyle w:val="Normal"/>
        <w:widowControl/>
        <w:ind w:firstLine="720" w:end="0"/>
        <w:rPr/>
      </w:pPr>
      <w:r>
        <w:rPr>
          <w:sz w:val="26"/>
          <w:highlight w:val="yellow"/>
        </w:rPr>
        <w:t>Upon obtaining abandonment authorization, TCP Gathering explains, it will construct an interconnection with Tom Brown's Lisbon Field gathering system in San Juan County, Utah.  TCP Gathering plans to gather gas from wells operated by Tom Brown and by third parties along the length of TCP Gathering's system in Utah and Colorado, and to deliver such gas to be processed in Tom Brown's Lisbon Field Plant to render it marketable.  The gas will then be delivered into Northwest Pipeline Corporation's (Northwest Pipeline) system at the tailgate of the plant.</w:t>
      </w:r>
      <w:r>
        <w:rPr>
          <w:sz w:val="26"/>
        </w:rPr>
        <w:t xml:space="preserve">  </w:t>
      </w:r>
    </w:p>
    <w:p>
      <w:pPr>
        <w:pStyle w:val="Normal"/>
        <w:widowControl/>
        <w:rPr>
          <w:sz w:val="26"/>
        </w:rPr>
      </w:pPr>
      <w:r>
        <w:rPr>
          <w:sz w:val="26"/>
        </w:rPr>
      </w:r>
    </w:p>
    <w:p>
      <w:pPr>
        <w:pStyle w:val="Normal"/>
        <w:widowControl/>
        <w:ind w:firstLine="720" w:end="0"/>
        <w:rPr>
          <w:sz w:val="26"/>
        </w:rPr>
      </w:pPr>
      <w:r>
        <w:rPr>
          <w:sz w:val="26"/>
        </w:rPr>
        <w:t>TCP Gathering requests that the Commission recognize that the facilities, when reconfigured, will have a primary function of gathering and will be exempt from the Commission's jurisdiction under Section 1(b) of the NGA.  TCP Gathering states that, for many years, the pipeline was not used at all, and that its operation as a gathering facility will enable TCP Gathering to connect new sources of supply desiring an outlet to interstate markets but requiring processing to ensure pipeline quality.</w:t>
      </w:r>
    </w:p>
    <w:p>
      <w:pPr>
        <w:pStyle w:val="Normal"/>
        <w:widowControl/>
        <w:rPr>
          <w:sz w:val="26"/>
        </w:rPr>
      </w:pPr>
      <w:r>
        <w:rPr>
          <w:sz w:val="26"/>
        </w:rPr>
      </w:r>
    </w:p>
    <w:p>
      <w:pPr>
        <w:pStyle w:val="Normal"/>
        <w:widowControl/>
        <w:ind w:firstLine="720" w:end="0"/>
        <w:rPr/>
      </w:pPr>
      <w:r>
        <w:rPr>
          <w:sz w:val="26"/>
        </w:rPr>
        <w:t xml:space="preserve">After applying the primary function test criteria set forth in </w:t>
      </w:r>
      <w:r>
        <w:rPr>
          <w:sz w:val="26"/>
          <w:u w:val="single"/>
        </w:rPr>
        <w:t>Farmland Industries, Inc.</w:t>
      </w:r>
      <w:r>
        <w:rPr>
          <w:sz w:val="26"/>
        </w:rPr>
        <w:t xml:space="preserve">, 23 FERC ¶ 61,063 (1983), as modified in </w:t>
      </w:r>
      <w:r>
        <w:rPr>
          <w:sz w:val="26"/>
          <w:u w:val="single"/>
        </w:rPr>
        <w:t>Amerada Hess Corporation, et al.</w:t>
      </w:r>
      <w:r>
        <w:rPr>
          <w:sz w:val="26"/>
        </w:rPr>
        <w:t xml:space="preserve">, 52 FERC ¶ 61,268 (1990), </w:t>
      </w:r>
      <w:r>
        <w:rPr>
          <w:sz w:val="26"/>
          <w:highlight w:val="yellow"/>
        </w:rPr>
        <w:t>I find that the primary function of the facilities, after abandonment, will be gathering.</w:t>
      </w:r>
      <w:r>
        <w:rPr>
          <w:sz w:val="26"/>
        </w:rPr>
        <w:t xml:space="preserve">  Although TCP Gathering's system crosses the Colorado-Utah state line, that fact does not preclude the facilities from being classified as non-jurisdictional gathering facilities. </w:t>
      </w:r>
      <w:r>
        <w:rPr>
          <w:rStyle w:val="FootnoteCharacters"/>
          <w:rStyle w:val="FootnoteReference"/>
          <w:b/>
          <w:sz w:val="31"/>
          <w:vertAlign w:val="superscript"/>
        </w:rPr>
        <w:footnoteReference w:id="4"/>
      </w:r>
      <w:r>
        <w:rPr>
          <w:sz w:val="26"/>
        </w:rPr>
        <w:t xml:space="preserve">  The configuration of the facilities will be a backbone system, fed by wells connected along the route, that will deliver the gas gathered from those wells to Tom Brown's gathering system for processing at Tom Brown's plant.  Indeed, the gathered gas will be of such quality that processing will be required to remove hydrogen sulfide and reduce inert gas content to meet Northwest Pipeline's quality specifications.  The facilities at issue include short, small diameter pipelines.  The facilities have no compression and are expected to operate at pressures in the range of 300 psig.  These factors are indicative of a gathering function.  In addition, the primary business activity of Tom Brown is non-jurisdictional, and, after abandonment, TCP Gathering intends to operate the facilities in conjunction with Tom Brown's non-jurisdictional operations.</w:t>
      </w:r>
    </w:p>
    <w:p>
      <w:pPr>
        <w:pStyle w:val="Normal"/>
        <w:widowControl/>
        <w:rPr>
          <w:b/>
          <w:sz w:val="26"/>
          <w:u w:val="single"/>
        </w:rPr>
      </w:pPr>
      <w:r>
        <w:rPr>
          <w:b/>
          <w:sz w:val="26"/>
          <w:u w:val="single"/>
        </w:rPr>
      </w:r>
    </w:p>
    <w:p>
      <w:pPr>
        <w:pStyle w:val="Normal"/>
        <w:widowControl/>
        <w:rPr>
          <w:b/>
          <w:sz w:val="26"/>
          <w:u w:val="single"/>
        </w:rPr>
      </w:pPr>
      <w:r>
        <w:rPr>
          <w:b/>
          <w:sz w:val="26"/>
          <w:u w:val="single"/>
        </w:rPr>
      </w:r>
    </w:p>
    <w:p>
      <w:pPr>
        <w:pStyle w:val="Normal"/>
        <w:widowControl/>
        <w:rPr>
          <w:b/>
          <w:sz w:val="26"/>
          <w:u w:val="single"/>
        </w:rPr>
      </w:pPr>
      <w:r>
        <w:rPr>
          <w:b/>
          <w:sz w:val="26"/>
          <w:u w:val="single"/>
        </w:rPr>
      </w:r>
    </w:p>
    <w:p>
      <w:pPr>
        <w:pStyle w:val="Normal"/>
        <w:widowControl/>
        <w:rPr>
          <w:b/>
          <w:sz w:val="26"/>
          <w:u w:val="single"/>
        </w:rPr>
      </w:pPr>
      <w:r>
        <w:rPr>
          <w:b/>
          <w:sz w:val="26"/>
          <w:u w:val="single"/>
        </w:rPr>
      </w:r>
    </w:p>
    <w:p>
      <w:pPr>
        <w:pStyle w:val="Normal"/>
        <w:widowControl/>
        <w:rPr>
          <w:sz w:val="26"/>
        </w:rPr>
      </w:pPr>
      <w:r>
        <w:rPr>
          <w:b/>
          <w:sz w:val="26"/>
          <w:u w:val="single"/>
        </w:rPr>
        <w:t>Interventions:</w:t>
      </w:r>
    </w:p>
    <w:p>
      <w:pPr>
        <w:pStyle w:val="Normal"/>
        <w:widowControl/>
        <w:rPr>
          <w:sz w:val="26"/>
        </w:rPr>
      </w:pPr>
      <w:r>
        <w:rPr>
          <w:sz w:val="26"/>
        </w:rPr>
      </w:r>
    </w:p>
    <w:p>
      <w:pPr>
        <w:pStyle w:val="Normal"/>
        <w:widowControl/>
        <w:ind w:firstLine="720" w:end="0"/>
        <w:rPr/>
      </w:pPr>
      <w:r>
        <w:rPr>
          <w:sz w:val="26"/>
        </w:rPr>
        <w:t xml:space="preserve">After due notice of TCP Gathering's application by publication in the </w:t>
      </w:r>
      <w:r>
        <w:rPr>
          <w:sz w:val="26"/>
          <w:u w:val="single"/>
        </w:rPr>
        <w:t>Federal</w:t>
      </w:r>
      <w:r>
        <w:rPr>
          <w:sz w:val="26"/>
        </w:rPr>
        <w:t xml:space="preserve"> </w:t>
      </w:r>
      <w:r>
        <w:rPr>
          <w:sz w:val="26"/>
          <w:u w:val="single"/>
        </w:rPr>
        <w:t>Register</w:t>
      </w:r>
      <w:r>
        <w:rPr>
          <w:sz w:val="26"/>
        </w:rPr>
        <w:t xml:space="preserve"> on June 13, 2000 (65 Fed. Reg. 37126), one motion to intervene was filed.  Timely, unopposed motions to intervene are granted pursuant to Rule 214 of the Commission's Regulations.  No protests to the granting of the application were filed.</w:t>
      </w:r>
    </w:p>
    <w:p>
      <w:pPr>
        <w:pStyle w:val="Normal"/>
        <w:widowControl/>
        <w:rPr>
          <w:sz w:val="26"/>
        </w:rPr>
      </w:pPr>
      <w:r>
        <w:rPr>
          <w:sz w:val="26"/>
        </w:rPr>
      </w:r>
    </w:p>
    <w:p>
      <w:pPr>
        <w:pStyle w:val="Normal"/>
        <w:widowControl/>
        <w:rPr>
          <w:sz w:val="26"/>
        </w:rPr>
      </w:pPr>
      <w:r>
        <w:rPr>
          <w:b/>
          <w:sz w:val="26"/>
          <w:u w:val="single"/>
        </w:rPr>
        <w:t>Findings:</w:t>
      </w:r>
    </w:p>
    <w:p>
      <w:pPr>
        <w:pStyle w:val="Normal"/>
        <w:widowControl/>
        <w:rPr>
          <w:sz w:val="26"/>
        </w:rPr>
      </w:pPr>
      <w:r>
        <w:rPr>
          <w:sz w:val="26"/>
        </w:rPr>
      </w:r>
    </w:p>
    <w:p>
      <w:pPr>
        <w:pStyle w:val="Normal"/>
        <w:widowControl/>
        <w:ind w:firstLine="720" w:end="0"/>
        <w:rPr>
          <w:sz w:val="26"/>
        </w:rPr>
      </w:pPr>
      <w:r>
        <w:rPr>
          <w:sz w:val="26"/>
        </w:rPr>
        <w:t>At a hearing held on the issue date noted above, I received and made a part of the record in this proceeding all evidence, including the application and exhibits thereto, submitted in support of the authorization sought herein.</w:t>
      </w:r>
    </w:p>
    <w:p>
      <w:pPr>
        <w:pStyle w:val="Normal"/>
        <w:widowControl/>
        <w:rPr>
          <w:sz w:val="26"/>
        </w:rPr>
      </w:pPr>
      <w:r>
        <w:rPr>
          <w:sz w:val="26"/>
        </w:rPr>
      </w:r>
    </w:p>
    <w:p>
      <w:pPr>
        <w:pStyle w:val="Normal"/>
        <w:widowControl/>
        <w:ind w:firstLine="720" w:end="0"/>
        <w:rPr>
          <w:sz w:val="26"/>
        </w:rPr>
      </w:pPr>
      <w:r>
        <w:rPr>
          <w:sz w:val="26"/>
        </w:rPr>
        <w:t>I find that environmental review of this proposal under Section 380.4(b) of the Commission's Regulations confirms that this action qualifies as a categorical exclusion under Section 380.4(a)(31) of the Commission's Regulations.</w:t>
      </w:r>
    </w:p>
    <w:p>
      <w:pPr>
        <w:pStyle w:val="Normal"/>
        <w:widowControl/>
        <w:rPr>
          <w:sz w:val="26"/>
        </w:rPr>
      </w:pPr>
      <w:r>
        <w:rPr>
          <w:sz w:val="26"/>
        </w:rPr>
      </w:r>
    </w:p>
    <w:p>
      <w:pPr>
        <w:pStyle w:val="Normal"/>
        <w:widowControl/>
        <w:ind w:firstLine="720" w:end="0"/>
        <w:rPr>
          <w:sz w:val="26"/>
        </w:rPr>
      </w:pPr>
      <w:r>
        <w:rPr>
          <w:sz w:val="26"/>
        </w:rPr>
        <w:t>I am taking this action under 18 CFR 375.308, and I order that:</w:t>
      </w:r>
    </w:p>
    <w:p>
      <w:pPr>
        <w:pStyle w:val="Normal"/>
        <w:widowControl/>
        <w:rPr>
          <w:sz w:val="26"/>
        </w:rPr>
      </w:pPr>
      <w:r>
        <w:rPr>
          <w:sz w:val="26"/>
        </w:rPr>
      </w:r>
    </w:p>
    <w:p>
      <w:pPr>
        <w:pStyle w:val="Normal"/>
        <w:widowControl/>
        <w:ind w:firstLine="720" w:end="0"/>
        <w:rPr>
          <w:sz w:val="26"/>
        </w:rPr>
      </w:pPr>
      <w:r>
        <w:rPr>
          <w:sz w:val="26"/>
        </w:rPr>
        <w:t>(A)  Permission for and approval of the abandonment by TCP Gathering of its facilities and service, as described above and in the application, are granted.</w:t>
      </w:r>
    </w:p>
    <w:p>
      <w:pPr>
        <w:pStyle w:val="Normal"/>
        <w:widowControl/>
        <w:rPr>
          <w:sz w:val="26"/>
        </w:rPr>
      </w:pPr>
      <w:r>
        <w:rPr>
          <w:sz w:val="26"/>
        </w:rPr>
      </w:r>
    </w:p>
    <w:p>
      <w:pPr>
        <w:pStyle w:val="Normal"/>
        <w:widowControl/>
        <w:ind w:firstLine="720" w:end="0"/>
        <w:rPr>
          <w:sz w:val="26"/>
        </w:rPr>
      </w:pPr>
      <w:r>
        <w:rPr>
          <w:sz w:val="26"/>
        </w:rPr>
        <w:t>(B)  TCP Gathering shall notify the Commission of the date of abandonment within 10 days thereof.</w:t>
      </w:r>
    </w:p>
    <w:p>
      <w:pPr>
        <w:pStyle w:val="Normal"/>
        <w:widowControl/>
        <w:rPr>
          <w:sz w:val="26"/>
        </w:rPr>
      </w:pPr>
      <w:r>
        <w:rPr>
          <w:sz w:val="26"/>
        </w:rPr>
      </w:r>
    </w:p>
    <w:p>
      <w:pPr>
        <w:pStyle w:val="Normal"/>
        <w:widowControl/>
        <w:ind w:firstLine="720" w:end="0"/>
        <w:rPr>
          <w:sz w:val="26"/>
        </w:rPr>
      </w:pPr>
      <w:r>
        <w:rPr>
          <w:sz w:val="26"/>
        </w:rPr>
        <w:t>(C)  Consistent with Part 154 of the Commission's regulations, TCP Gathering must file within 30 days to cancel its FERC Gas Tariff to be effective the date of this order.</w:t>
      </w:r>
    </w:p>
    <w:p>
      <w:pPr>
        <w:pStyle w:val="Normal"/>
        <w:widowControl/>
        <w:rPr>
          <w:sz w:val="26"/>
        </w:rPr>
      </w:pPr>
      <w:r>
        <w:rPr>
          <w:sz w:val="26"/>
        </w:rPr>
      </w:r>
    </w:p>
    <w:p>
      <w:pPr>
        <w:pStyle w:val="Normal"/>
        <w:widowControl/>
        <w:ind w:firstLine="720" w:end="0"/>
        <w:rPr>
          <w:sz w:val="26"/>
        </w:rPr>
      </w:pPr>
      <w:r>
        <w:rPr>
          <w:sz w:val="26"/>
        </w:rPr>
        <w:t>(D)  This order constitutes final agency action.  Requests for rehearing by the Commission may be filed within 30 days of the date of issuance of this order pursuant to 18 CFR 385.713.</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start="4320" w:end="0"/>
        <w:rPr>
          <w:sz w:val="26"/>
        </w:rPr>
      </w:pPr>
      <w:r>
        <w:rPr>
          <w:sz w:val="26"/>
        </w:rPr>
        <w:t>Daniel M. Adamson</w:t>
      </w:r>
    </w:p>
    <w:p>
      <w:pPr>
        <w:pStyle w:val="Normal"/>
        <w:widowControl/>
        <w:ind w:start="4320" w:end="0"/>
        <w:rPr>
          <w:sz w:val="26"/>
        </w:rPr>
      </w:pPr>
      <w:r>
        <w:rPr>
          <w:sz w:val="26"/>
        </w:rPr>
        <w:t>Director</w:t>
      </w:r>
    </w:p>
    <w:p>
      <w:pPr>
        <w:pStyle w:val="Normal"/>
        <w:widowControl/>
        <w:ind w:start="4320" w:end="0"/>
        <w:rPr>
          <w:sz w:val="26"/>
        </w:rPr>
      </w:pPr>
      <w:r>
        <w:rPr>
          <w:sz w:val="26"/>
        </w:rPr>
        <w:t>Office of Energy Projects</w:t>
      </w:r>
    </w:p>
    <w:sectPr>
      <w:headerReference w:type="default" r:id="rId2"/>
      <w:headerReference w:type="first" r:id="rId3"/>
      <w:footnotePr>
        <w:numFmt w:val="decimal"/>
      </w:footnotePr>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u w:val="single"/>
        </w:rPr>
        <w:t>TCP Gathering Company</w:t>
      </w:r>
      <w:r>
        <w:rPr>
          <w:sz w:val="26"/>
        </w:rPr>
        <w:t>, 17 FERC ¶ 62,204 (1981).</w:t>
      </w:r>
    </w:p>
  </w:footnote>
  <w:footnote w:id="3">
    <w:p>
      <w:pPr>
        <w:pStyle w:val="Normal"/>
        <w:spacing w:before="0" w:after="240"/>
        <w:ind w:firstLine="720" w:end="0"/>
        <w:rPr/>
      </w:pPr>
      <w:r>
        <w:rPr>
          <w:rStyle w:val="FootnoteCharacters"/>
        </w:rPr>
        <w:footnoteRef/>
      </w:r>
      <w:r>
        <w:rPr>
          <w:sz w:val="26"/>
        </w:rPr>
        <w:t>On April 1, 2000, Tom Brown acquired TCP Gathering from Rocky Mountain Natural Gas Company.</w:t>
      </w:r>
    </w:p>
  </w:footnote>
  <w:footnote w:id="4">
    <w:p>
      <w:pPr>
        <w:pStyle w:val="Normal"/>
        <w:spacing w:before="0" w:after="240"/>
        <w:ind w:firstLine="720" w:end="0"/>
        <w:rPr/>
      </w:pPr>
      <w:r>
        <w:rPr>
          <w:rStyle w:val="FootnoteCharacters"/>
        </w:rPr>
        <w:footnoteRef/>
      </w:r>
      <w:r>
        <w:rPr>
          <w:sz w:val="26"/>
          <w:u w:val="single"/>
        </w:rPr>
        <w:t>Columbia Gas Transmission Corporation and Norse Pipeline, L.L.C</w:t>
      </w:r>
      <w:r>
        <w:rPr>
          <w:sz w:val="26"/>
        </w:rPr>
        <w:t xml:space="preserve">., 85 FERC ¶ 61, 191 (1998); </w:t>
      </w:r>
      <w:r>
        <w:rPr>
          <w:sz w:val="26"/>
          <w:u w:val="single"/>
        </w:rPr>
        <w:t>reh'g</w:t>
      </w:r>
      <w:r>
        <w:rPr>
          <w:sz w:val="26"/>
        </w:rPr>
        <w:t>, 86 FERC ¶ 61,137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6"/>
      </w:rPr>
    </w:pPr>
    <w:r>
      <w:rPr>
        <w:sz w:val="26"/>
      </w:rPr>
      <w:t>Docket No. CP00-372-000</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p>
    <w:pPr>
      <w:pStyle w:val="Normal"/>
      <w:spacing w:lineRule="exact" w:line="240"/>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2000-08-02T18:01:00Z</dcterms:created>
  <dc:creator>bcantre</dc:creator>
  <dc:description/>
  <dc:language>en-CA</dc:language>
  <cp:lastModifiedBy>bcantre</cp:lastModifiedBy>
  <dcterms:modified xsi:type="dcterms:W3CDTF">2000-08-02T18:01:00Z</dcterms:modified>
  <cp:revision>2</cp:revision>
  <dc:subject/>
  <dc:title/>
</cp:coreProperties>
</file>