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TO:</w:t>
        <w:tab/>
        <w:tab/>
        <w:t>Speaker Robert Hertzberg</w:t>
      </w:r>
    </w:p>
    <w:p>
      <w:pPr>
        <w:pStyle w:val="Normal"/>
        <w:rPr>
          <w:rFonts w:ascii="Arial" w:hAnsi="Arial" w:cs="Arial"/>
        </w:rPr>
      </w:pPr>
      <w:r>
        <w:rPr>
          <w:rFonts w:cs="Arial" w:ascii="Arial" w:hAnsi="Arial"/>
        </w:rPr>
        <w:t>FROM:</w:t>
        <w:tab/>
        <w:tab/>
        <w:t>Dave Cox, Assembly Republican Leader</w:t>
      </w:r>
    </w:p>
    <w:p>
      <w:pPr>
        <w:pStyle w:val="Normal"/>
        <w:rPr>
          <w:rFonts w:ascii="Arial" w:hAnsi="Arial" w:cs="Arial"/>
        </w:rPr>
      </w:pPr>
      <w:r>
        <w:rPr>
          <w:rFonts w:cs="Arial" w:ascii="Arial" w:hAnsi="Arial"/>
        </w:rPr>
        <w:t>DATE:</w:t>
        <w:tab/>
        <w:tab/>
        <w:t>May 2, 2001</w:t>
      </w:r>
    </w:p>
    <w:p>
      <w:pPr>
        <w:pStyle w:val="Normal"/>
        <w:rPr>
          <w:rFonts w:ascii="Arial" w:hAnsi="Arial" w:cs="Arial"/>
        </w:rPr>
      </w:pPr>
      <w:r>
        <w:rPr>
          <w:rFonts w:cs="Arial" w:ascii="Arial" w:hAnsi="Arial"/>
        </w:rPr>
        <w:t>RE:</w:t>
        <w:tab/>
        <w:tab/>
        <w:t>Proposed Amendments to Bond Proposal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Per our telephone discussion of earlier today, this letter is a preliminary response detailing Assembly Republican issues which need to be included in ANY bill to authorize the Treasurer to issue energy revenue bonds.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items which Assembly Republicans request are as follows:</w:t>
      </w:r>
    </w:p>
    <w:p>
      <w:pPr>
        <w:pStyle w:val="Normal"/>
        <w:rPr>
          <w:rFonts w:ascii="Arial" w:hAnsi="Arial" w:cs="Arial"/>
        </w:rPr>
      </w:pPr>
      <w:r>
        <w:rPr>
          <w:rFonts w:cs="Arial" w:ascii="Arial" w:hAnsi="Arial"/>
        </w:rPr>
      </w:r>
    </w:p>
    <w:p>
      <w:pPr>
        <w:pStyle w:val="Normal"/>
        <w:numPr>
          <w:ilvl w:val="0"/>
          <w:numId w:val="1"/>
        </w:numPr>
        <w:ind w:hanging="380" w:start="380" w:end="0"/>
        <w:rPr>
          <w:rFonts w:ascii="Arial" w:hAnsi="Arial" w:cs="Arial"/>
        </w:rPr>
      </w:pPr>
      <w:r>
        <w:rPr>
          <w:rFonts w:cs="Arial" w:ascii="Arial" w:hAnsi="Arial"/>
        </w:rPr>
        <w:t xml:space="preserve">Reduce the total amount of bonds authorized from a total of 4 times the amount of the California Procurement Authority to a maximum of $8 billion.  Use $5 billion from the state General Fund surplus to pay for DWR energy purchases incurred by the state as of a date certain.  No bridge loan.  </w:t>
      </w:r>
    </w:p>
    <w:p>
      <w:pPr>
        <w:pStyle w:val="Normal"/>
        <w:numPr>
          <w:ilvl w:val="0"/>
          <w:numId w:val="0"/>
        </w:numPr>
        <w:ind w:hanging="0" w:start="0"/>
        <w:rPr>
          <w:rFonts w:ascii="Arial" w:hAnsi="Arial" w:cs="Arial"/>
        </w:rPr>
      </w:pPr>
      <w:r>
        <w:rPr>
          <w:rFonts w:cs="Arial" w:ascii="Arial" w:hAnsi="Arial"/>
        </w:rPr>
      </w:r>
    </w:p>
    <w:p>
      <w:pPr>
        <w:pStyle w:val="Normal"/>
        <w:numPr>
          <w:ilvl w:val="0"/>
          <w:numId w:val="1"/>
        </w:numPr>
        <w:ind w:hanging="380" w:start="380" w:end="0"/>
        <w:rPr>
          <w:rFonts w:ascii="Arial" w:hAnsi="Arial" w:cs="Arial"/>
        </w:rPr>
      </w:pPr>
      <w:r>
        <w:rPr>
          <w:rFonts w:cs="Arial" w:ascii="Arial" w:hAnsi="Arial"/>
        </w:rPr>
        <w:t>Establish a "Municipal Utilities Ratepayers' Reduction Fund," so as to facilitate a corresponding amount of reduction in the electricity rates of municipal ratepayers as will be realized by the ratepayers of the investor-owned utilities as a result of the $5 billion reduction in the proposed energy revenue bonds.  Authorize an appropriation to the Fund in the amount of _____.  Provide a mechanism (based on the annual aggregate energy use in kW or mW for the calendar year 2001) by which proceeds from the Fund may be used to directly reduce the payment of individual municipal ratepayers, and as such how each respective municipal utility may be reimbursed for these same reductions in revenues.</w:t>
      </w:r>
    </w:p>
    <w:p>
      <w:pPr>
        <w:pStyle w:val="Normal"/>
        <w:numPr>
          <w:ilvl w:val="0"/>
          <w:numId w:val="0"/>
        </w:numPr>
        <w:ind w:hanging="0" w:start="0"/>
        <w:rPr>
          <w:rFonts w:ascii="Arial" w:hAnsi="Arial" w:cs="Arial"/>
        </w:rPr>
      </w:pPr>
      <w:r>
        <w:rPr>
          <w:rFonts w:cs="Arial" w:ascii="Arial" w:hAnsi="Arial"/>
        </w:rPr>
      </w:r>
    </w:p>
    <w:p>
      <w:pPr>
        <w:pStyle w:val="Normal"/>
        <w:numPr>
          <w:ilvl w:val="0"/>
          <w:numId w:val="1"/>
        </w:numPr>
        <w:ind w:hanging="380" w:start="380" w:end="0"/>
        <w:rPr>
          <w:rFonts w:ascii="Arial" w:hAnsi="Arial" w:cs="Arial"/>
        </w:rPr>
      </w:pPr>
      <w:r>
        <w:rPr>
          <w:rFonts w:cs="Arial" w:ascii="Arial" w:hAnsi="Arial"/>
        </w:rPr>
        <w:t>Provide retail and residential customers direct access to purchase electrical generation from individual providers.</w:t>
      </w:r>
    </w:p>
    <w:p>
      <w:pPr>
        <w:pStyle w:val="Normal"/>
        <w:numPr>
          <w:ilvl w:val="0"/>
          <w:numId w:val="0"/>
        </w:numPr>
        <w:ind w:hanging="0" w:start="0"/>
        <w:rPr>
          <w:rFonts w:ascii="Arial" w:hAnsi="Arial" w:cs="Arial"/>
        </w:rPr>
      </w:pPr>
      <w:r>
        <w:rPr>
          <w:rFonts w:cs="Arial" w:ascii="Arial" w:hAnsi="Arial"/>
        </w:rPr>
      </w:r>
    </w:p>
    <w:p>
      <w:pPr>
        <w:pStyle w:val="Normal"/>
        <w:numPr>
          <w:ilvl w:val="0"/>
          <w:numId w:val="1"/>
        </w:numPr>
        <w:ind w:hanging="380" w:start="380" w:end="0"/>
        <w:rPr>
          <w:rFonts w:ascii="Arial" w:hAnsi="Arial" w:cs="Arial"/>
        </w:rPr>
      </w:pPr>
      <w:r>
        <w:rPr>
          <w:rFonts w:cs="Arial" w:ascii="Arial" w:hAnsi="Arial"/>
        </w:rPr>
        <w:t>Limit the permitting and review authority of the California Energy Commission (CEC) electrical generation facilities greater than 125 mW (thereby increasing the current threshold from 50 mW to 125 mW).</w:t>
      </w:r>
    </w:p>
    <w:p>
      <w:pPr>
        <w:pStyle w:val="Normal"/>
        <w:numPr>
          <w:ilvl w:val="0"/>
          <w:numId w:val="0"/>
        </w:numPr>
        <w:ind w:hanging="0" w:start="0"/>
        <w:rPr>
          <w:rFonts w:ascii="Arial" w:hAnsi="Arial" w:cs="Arial"/>
        </w:rPr>
      </w:pPr>
      <w:r>
        <w:rPr>
          <w:rFonts w:cs="Arial" w:ascii="Arial" w:hAnsi="Arial"/>
        </w:rPr>
      </w:r>
    </w:p>
    <w:p>
      <w:pPr>
        <w:pStyle w:val="Normal"/>
        <w:numPr>
          <w:ilvl w:val="0"/>
          <w:numId w:val="1"/>
        </w:numPr>
        <w:ind w:hanging="380" w:start="380" w:end="0"/>
        <w:rPr>
          <w:rFonts w:ascii="Arial" w:hAnsi="Arial" w:cs="Arial"/>
        </w:rPr>
      </w:pPr>
      <w:r>
        <w:rPr>
          <w:rFonts w:cs="Arial" w:ascii="Arial" w:hAnsi="Arial"/>
        </w:rPr>
        <w:t>Restructure the permitting and review authority and related processes of the CEC as per the contents of Assembly Bill 569 (LaSuer).</w:t>
      </w:r>
    </w:p>
    <w:p>
      <w:pPr>
        <w:pStyle w:val="Normal"/>
        <w:numPr>
          <w:ilvl w:val="0"/>
          <w:numId w:val="0"/>
        </w:numPr>
        <w:ind w:hanging="0" w:start="0"/>
        <w:rPr>
          <w:rFonts w:ascii="Arial" w:hAnsi="Arial" w:cs="Arial"/>
        </w:rPr>
      </w:pPr>
      <w:r>
        <w:rPr>
          <w:rFonts w:cs="Arial" w:ascii="Arial" w:hAnsi="Arial"/>
        </w:rPr>
      </w:r>
    </w:p>
    <w:p>
      <w:pPr>
        <w:pStyle w:val="Normal"/>
        <w:numPr>
          <w:ilvl w:val="0"/>
          <w:numId w:val="1"/>
        </w:numPr>
        <w:ind w:hanging="380" w:start="380" w:end="0"/>
        <w:rPr>
          <w:rFonts w:ascii="Arial" w:hAnsi="Arial" w:cs="Arial"/>
        </w:rPr>
      </w:pPr>
      <w:r>
        <w:rPr>
          <w:rFonts w:cs="Arial" w:ascii="Arial" w:hAnsi="Arial"/>
        </w:rPr>
        <w:t>Perfect the Qualified Facilities Energy cost recovery as specified.</w:t>
      </w:r>
    </w:p>
    <w:p>
      <w:pPr>
        <w:pStyle w:val="Normal"/>
        <w:numPr>
          <w:ilvl w:val="0"/>
          <w:numId w:val="0"/>
        </w:numPr>
        <w:ind w:hanging="0" w:start="0"/>
        <w:rPr>
          <w:rFonts w:ascii="Arial" w:hAnsi="Arial" w:cs="Arial"/>
        </w:rPr>
      </w:pPr>
      <w:r>
        <w:rPr>
          <w:rFonts w:cs="Arial" w:ascii="Arial" w:hAnsi="Arial"/>
        </w:rPr>
      </w:r>
    </w:p>
    <w:p>
      <w:pPr>
        <w:pStyle w:val="Normal"/>
        <w:numPr>
          <w:ilvl w:val="0"/>
          <w:numId w:val="1"/>
        </w:numPr>
        <w:ind w:hanging="380" w:start="380" w:end="0"/>
        <w:rPr>
          <w:rFonts w:ascii="Arial" w:hAnsi="Arial" w:cs="Arial"/>
        </w:rPr>
      </w:pPr>
      <w:r>
        <w:rPr>
          <w:rFonts w:cs="Arial" w:ascii="Arial" w:hAnsi="Arial"/>
        </w:rPr>
        <w:t>Enable and implement the property tax benefit to benefit host communities for the repowering of existing electrical generation facilities or for siting new electrical generation and related facilities as per the contents of Assembly Bill 49x (Bill Campbell).</w:t>
      </w:r>
    </w:p>
    <w:p>
      <w:pPr>
        <w:pStyle w:val="Normal"/>
        <w:numPr>
          <w:ilvl w:val="0"/>
          <w:numId w:val="0"/>
        </w:numPr>
        <w:ind w:hanging="0" w:start="0"/>
        <w:rPr>
          <w:rFonts w:ascii="Arial" w:hAnsi="Arial" w:cs="Arial"/>
        </w:rPr>
      </w:pPr>
      <w:r>
        <w:rPr>
          <w:rFonts w:cs="Arial" w:ascii="Arial" w:hAnsi="Arial"/>
        </w:rPr>
      </w:r>
    </w:p>
    <w:p>
      <w:pPr>
        <w:pStyle w:val="Normal"/>
        <w:numPr>
          <w:ilvl w:val="0"/>
          <w:numId w:val="0"/>
        </w:numPr>
        <w:ind w:hanging="0" w:start="0"/>
        <w:rPr>
          <w:rFonts w:ascii="Arial" w:hAnsi="Arial" w:cs="Arial"/>
        </w:rPr>
      </w:pPr>
      <w:r>
        <w:rPr>
          <w:rFonts w:cs="Arial" w:ascii="Arial" w:hAnsi="Arial"/>
        </w:rPr>
        <w:t>To begin, Assembly Republicans see absolutely no need for a "bridge loan," either as a function of cash management and cash flow procedures or as a "symbol of good faith" or earnest money on the part of the financial community.  As both Controller Kathleen Connell and Treasurer Phil Angelides have affirmed in the last 48 hours, the state currently possesses in excess of $10 billion in borrowable resources (also known as "internal funds" or "the inter-borrowing fund.").  Even if these funds are reimbursed at the pooled interest rate, it makes no sense to pay a 15 basis point commission to the financial community for "executing" such a short-term deal.  If instead the "convertible" nature of this "bridge loan" is sought as a means to finance an additional $4.1 to $6 billion over a three-year period at an interest rate of "prime plus 75 basis points," I can assure you that my Caucus will not support such an effort.  Lastly, there is absolutely no need for the taxpayers of the state of California to "sweeten the deal" of a pending energy revenue bond issue (coming as it does with its own 35 basis points in fees) by entering into the proposed bridge loan.  If and when legislation is signed into law authorizing the issuance of energy revenue bonds secured by a designated component of individual consumers' rates, I am confident that there will be any number of eager bidders willing to underwrite such a program (I would note that at a default rate of less than 5 percent, utility receivables are among the most certain of securitized revenue streams).</w:t>
      </w:r>
    </w:p>
    <w:p>
      <w:pPr>
        <w:pStyle w:val="Normal"/>
        <w:numPr>
          <w:ilvl w:val="0"/>
          <w:numId w:val="0"/>
        </w:numPr>
        <w:ind w:hanging="0" w:start="0"/>
        <w:rPr>
          <w:rFonts w:ascii="Arial" w:hAnsi="Arial" w:cs="Arial"/>
        </w:rPr>
      </w:pPr>
      <w:r>
        <w:rPr>
          <w:rFonts w:cs="Arial" w:ascii="Arial" w:hAnsi="Arial"/>
        </w:rPr>
      </w:r>
    </w:p>
    <w:p>
      <w:pPr>
        <w:pStyle w:val="Normal"/>
        <w:numPr>
          <w:ilvl w:val="0"/>
          <w:numId w:val="0"/>
        </w:numPr>
        <w:ind w:hanging="0" w:start="0"/>
        <w:rPr>
          <w:rFonts w:ascii="Arial" w:hAnsi="Arial" w:cs="Arial"/>
        </w:rPr>
      </w:pPr>
      <w:r>
        <w:rPr>
          <w:rFonts w:cs="Arial" w:ascii="Arial" w:hAnsi="Arial"/>
        </w:rPr>
        <w:t>As a result, the elimination of the "bridge loan" and the recognition that in a time of great state crisis our state's revenue surplus must be used to "pay our energy bills" -- not for increases in permanent increases in new or existing state programs -- allows us to immediately "buy down" the total face value of any proposed energy bond issuance by at least $5 billion...or from the highest discussed amount of $13 billion to $8 billion.  Certainly there are members of my Caucus who believe that the clear understanding of AB 1x was to authorize a maximum of $10 billion, and as such a $5 billion reduction should limit the total amount of indebtedness to $5 billion; having said this, in the interest of reaching a bipartisan solution which commands the respect of the financial markets, I will accede to a maximum face value of $8 billion.</w:t>
      </w:r>
    </w:p>
    <w:p>
      <w:pPr>
        <w:pStyle w:val="Normal"/>
        <w:numPr>
          <w:ilvl w:val="0"/>
          <w:numId w:val="0"/>
        </w:numPr>
        <w:ind w:hanging="0" w:start="0"/>
        <w:rPr>
          <w:rFonts w:ascii="Arial" w:hAnsi="Arial" w:cs="Arial"/>
        </w:rPr>
      </w:pPr>
      <w:r>
        <w:rPr>
          <w:rFonts w:cs="Arial" w:ascii="Arial" w:hAnsi="Arial"/>
        </w:rPr>
      </w:r>
    </w:p>
    <w:p>
      <w:pPr>
        <w:pStyle w:val="Normal"/>
        <w:numPr>
          <w:ilvl w:val="0"/>
          <w:numId w:val="0"/>
        </w:numPr>
        <w:ind w:hanging="0" w:start="0"/>
        <w:rPr>
          <w:rFonts w:ascii="Arial" w:hAnsi="Arial" w:cs="Arial"/>
        </w:rPr>
      </w:pPr>
      <w:r>
        <w:rPr>
          <w:rFonts w:cs="Arial" w:ascii="Arial" w:hAnsi="Arial"/>
        </w:rPr>
        <w:t>I am certain you will agree that a $5 billion reduction in the face value of bonds that must be paid -- with interest -- by ratepayers of the investor-owned utilities necessitates similar action on the part of ratepayers represented by municipal utilities.  In my own Sacramento Municipal Utilities District, ratepayers soon face increased costs of as much as 29%, and the District itself was forced to all but deplete its "reserve fund" of $100 million in order to pay the increased cost of energy.  As such, I propose the creation of a "Municipal Utilities Ratepayers' Reduction Fund," the purpose of which will be to reimburse ratepayers for the increased cost of energy in direct proportion to the reduction in rates that will be realized by investor-owned utilities as a result of a $5 billion reduction in the issuance of energy revenue bonds.</w:t>
      </w:r>
    </w:p>
    <w:p>
      <w:pPr>
        <w:pStyle w:val="Normal"/>
        <w:numPr>
          <w:ilvl w:val="0"/>
          <w:numId w:val="0"/>
        </w:numPr>
        <w:ind w:hanging="0" w:start="0"/>
        <w:rPr>
          <w:rFonts w:ascii="Arial" w:hAnsi="Arial" w:cs="Arial"/>
        </w:rPr>
      </w:pPr>
      <w:r>
        <w:rPr>
          <w:rFonts w:cs="Arial" w:ascii="Arial" w:hAnsi="Arial"/>
        </w:rPr>
      </w:r>
    </w:p>
    <w:p>
      <w:pPr>
        <w:pStyle w:val="Normal"/>
        <w:numPr>
          <w:ilvl w:val="0"/>
          <w:numId w:val="0"/>
        </w:numPr>
        <w:ind w:hanging="0" w:start="0"/>
        <w:rPr>
          <w:rFonts w:ascii="Arial" w:hAnsi="Arial" w:cs="Arial"/>
        </w:rPr>
      </w:pPr>
      <w:r>
        <w:rPr>
          <w:rFonts w:cs="Arial" w:ascii="Arial" w:hAnsi="Arial"/>
        </w:rPr>
        <w:t>We do not as yet have Legislative Counsel language on this proposal, but its particulars are as follows:</w:t>
      </w:r>
    </w:p>
    <w:p>
      <w:pPr>
        <w:pStyle w:val="Normal"/>
        <w:numPr>
          <w:ilvl w:val="0"/>
          <w:numId w:val="0"/>
        </w:numPr>
        <w:ind w:hanging="0" w:start="0"/>
        <w:rPr>
          <w:rFonts w:ascii="Arial" w:hAnsi="Arial" w:cs="Arial"/>
        </w:rPr>
      </w:pPr>
      <w:r>
        <w:rPr>
          <w:rFonts w:cs="Arial" w:ascii="Arial" w:hAnsi="Arial"/>
        </w:rPr>
      </w:r>
    </w:p>
    <w:p>
      <w:pPr>
        <w:pStyle w:val="Normal"/>
        <w:numPr>
          <w:ilvl w:val="0"/>
          <w:numId w:val="1"/>
        </w:numPr>
        <w:ind w:hanging="380" w:start="380" w:end="0"/>
        <w:rPr>
          <w:rFonts w:ascii="Arial" w:hAnsi="Arial" w:cs="Arial"/>
        </w:rPr>
      </w:pPr>
      <w:r>
        <w:rPr>
          <w:rFonts w:cs="Arial" w:ascii="Arial" w:hAnsi="Arial"/>
        </w:rPr>
        <w:t>The Legislature will appropriate ______ to the newly-created "Municipal Utilities Ratepayers' Reduction Fund."  This shall be a one-time appropriation.</w:t>
      </w:r>
    </w:p>
    <w:p>
      <w:pPr>
        <w:pStyle w:val="Normal"/>
        <w:numPr>
          <w:ilvl w:val="0"/>
          <w:numId w:val="0"/>
        </w:numPr>
        <w:ind w:hanging="0" w:start="0"/>
        <w:rPr>
          <w:rFonts w:ascii="Arial" w:hAnsi="Arial" w:cs="Arial"/>
        </w:rPr>
      </w:pPr>
      <w:r>
        <w:rPr>
          <w:rFonts w:cs="Arial" w:ascii="Arial" w:hAnsi="Arial"/>
        </w:rPr>
      </w:r>
    </w:p>
    <w:p>
      <w:pPr>
        <w:pStyle w:val="Normal"/>
        <w:numPr>
          <w:ilvl w:val="0"/>
          <w:numId w:val="1"/>
        </w:numPr>
        <w:ind w:hanging="380" w:start="380" w:end="0"/>
        <w:rPr>
          <w:rFonts w:ascii="Arial" w:hAnsi="Arial" w:cs="Arial"/>
        </w:rPr>
      </w:pPr>
      <w:r>
        <w:rPr>
          <w:rFonts w:cs="Arial" w:ascii="Arial" w:hAnsi="Arial"/>
        </w:rPr>
        <w:t>The amount of the appropriation will be calculated by the following formula:</w:t>
      </w:r>
    </w:p>
    <w:p>
      <w:pPr>
        <w:pStyle w:val="Normal"/>
        <w:rPr>
          <w:rFonts w:ascii="Arial" w:hAnsi="Arial" w:cs="Arial"/>
        </w:rPr>
      </w:pPr>
      <w:r>
        <w:rPr>
          <w:rFonts w:cs="Arial" w:ascii="Arial" w:hAnsi="Arial"/>
        </w:rPr>
      </w:r>
    </w:p>
    <w:p>
      <w:pPr>
        <w:pStyle w:val="Normal"/>
        <w:ind w:firstLine="720" w:start="1440" w:end="0"/>
        <w:rPr/>
      </w:pPr>
      <w:r>
        <w:rPr>
          <w:rFonts w:eastAsia="Arial" w:cs="Arial" w:ascii="Arial" w:hAnsi="Arial"/>
        </w:rPr>
        <w:t xml:space="preserve"> </w:t>
      </w:r>
      <w:r>
        <w:rPr>
          <w:rFonts w:cs="Arial" w:ascii="Arial" w:hAnsi="Arial"/>
          <w:sz w:val="32"/>
        </w:rPr>
        <w:t>$5 billion x u/(u + I) = FA</w:t>
      </w:r>
    </w:p>
    <w:p>
      <w:pPr>
        <w:pStyle w:val="Normal"/>
        <w:rPr>
          <w:rFonts w:ascii="Arial" w:hAnsi="Arial" w:cs="Arial"/>
          <w:sz w:val="32"/>
        </w:rPr>
      </w:pPr>
      <w:r>
        <w:rPr>
          <w:rFonts w:cs="Arial" w:ascii="Arial" w:hAnsi="Arial"/>
          <w:sz w:val="32"/>
        </w:rPr>
      </w:r>
    </w:p>
    <w:p>
      <w:pPr>
        <w:pStyle w:val="Normal"/>
        <w:rPr>
          <w:rFonts w:ascii="Arial" w:hAnsi="Arial" w:cs="Arial"/>
        </w:rPr>
      </w:pPr>
      <w:r>
        <w:rPr>
          <w:rFonts w:cs="Arial" w:ascii="Arial" w:hAnsi="Arial"/>
        </w:rPr>
        <w:tab/>
        <w:t>u:</w:t>
        <w:tab/>
        <w:t>electrical energy consumption delivered to energy consumers</w:t>
      </w:r>
    </w:p>
    <w:p>
      <w:pPr>
        <w:pStyle w:val="Normal"/>
        <w:rPr>
          <w:rFonts w:ascii="Arial" w:hAnsi="Arial" w:cs="Arial"/>
        </w:rPr>
      </w:pPr>
      <w:r>
        <w:rPr>
          <w:rFonts w:cs="Arial" w:ascii="Arial" w:hAnsi="Arial"/>
        </w:rPr>
        <w:tab/>
        <w:tab/>
        <w:t xml:space="preserve"> within the borders of the state by municipal utilities in the year 2000</w:t>
      </w:r>
    </w:p>
    <w:p>
      <w:pPr>
        <w:pStyle w:val="Normal"/>
        <w:rPr>
          <w:rFonts w:ascii="Arial" w:hAnsi="Arial" w:cs="Arial"/>
        </w:rPr>
      </w:pPr>
      <w:r>
        <w:rPr>
          <w:rFonts w:cs="Arial" w:ascii="Arial" w:hAnsi="Arial"/>
        </w:rPr>
        <w:tab/>
        <w:tab/>
        <w:tab/>
        <w:t xml:space="preserve"> </w:t>
      </w:r>
    </w:p>
    <w:p>
      <w:pPr>
        <w:pStyle w:val="Normal"/>
        <w:rPr>
          <w:rFonts w:ascii="Arial" w:hAnsi="Arial" w:cs="Arial"/>
        </w:rPr>
      </w:pPr>
      <w:r>
        <w:rPr>
          <w:rFonts w:cs="Arial" w:ascii="Arial" w:hAnsi="Arial"/>
        </w:rPr>
        <w:tab/>
        <w:t>i:</w:t>
        <w:tab/>
        <w:t>electrical energy consumption delivered to energy consumers</w:t>
      </w:r>
    </w:p>
    <w:p>
      <w:pPr>
        <w:pStyle w:val="Normal"/>
        <w:rPr>
          <w:rFonts w:ascii="Arial" w:hAnsi="Arial" w:cs="Arial"/>
        </w:rPr>
      </w:pPr>
      <w:r>
        <w:rPr>
          <w:rFonts w:cs="Arial" w:ascii="Arial" w:hAnsi="Arial"/>
        </w:rPr>
        <w:tab/>
        <w:tab/>
        <w:t xml:space="preserve"> within the borders of the state by investor-owned utilities in the year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FA:</w:t>
        <w:tab/>
        <w:t>total amount appropriated to the "Municipal Utilities Ratepayers' Reduction</w:t>
      </w:r>
    </w:p>
    <w:p>
      <w:pPr>
        <w:pStyle w:val="Normal"/>
        <w:ind w:firstLine="720" w:start="720" w:end="0"/>
        <w:rPr>
          <w:rFonts w:ascii="Arial" w:hAnsi="Arial" w:cs="Arial"/>
        </w:rPr>
      </w:pPr>
      <w:r>
        <w:rPr>
          <w:rFonts w:eastAsia="Arial" w:cs="Arial" w:ascii="Arial" w:hAnsi="Arial"/>
        </w:rPr>
        <w:t xml:space="preserve"> </w:t>
      </w:r>
      <w:r>
        <w:rPr>
          <w:rFonts w:cs="Arial" w:ascii="Arial" w:hAnsi="Arial"/>
        </w:rPr>
        <w:t xml:space="preserve">Fund."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Hopefully this formula does not complicate understanding of the proposal.  Simply stated, if munis deliver 30% of all electricity consumed by Californians, then the Fund would be appropriated an amount of $1.5 billion ($5 billion x .3).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As to both a delivery mechanism by which to administer this rebate, and a means to calculate the amount of each individual reduction/rebate, while we again do not have Legislative Counsel language for your review, I propose that we replicate the "offset" mechanism used in the original reduction of the Vehicle License Fee, and apply a legislatively prescribed "offset amount" to the aggregate use of electricity by a consumer during calendar year 2001.  The "offset amount" would be calculated as a specific amount per kilowatt (e.g., .014756 per kW), as follows:  </w:t>
      </w:r>
    </w:p>
    <w:p>
      <w:pPr>
        <w:pStyle w:val="Normal"/>
        <w:rPr>
          <w:rFonts w:ascii="Arial" w:hAnsi="Arial" w:cs="Arial"/>
        </w:rPr>
      </w:pPr>
      <w:r>
        <w:rPr>
          <w:rFonts w:cs="Arial" w:ascii="Arial" w:hAnsi="Arial"/>
        </w:rPr>
      </w:r>
    </w:p>
    <w:p>
      <w:pPr>
        <w:pStyle w:val="Normal"/>
        <w:ind w:start="3600" w:end="0"/>
        <w:rPr>
          <w:rFonts w:ascii="Arial" w:hAnsi="Arial" w:cs="Arial"/>
          <w:sz w:val="32"/>
        </w:rPr>
      </w:pPr>
      <w:r>
        <w:rPr>
          <w:rFonts w:cs="Arial" w:ascii="Arial" w:hAnsi="Arial"/>
          <w:sz w:val="32"/>
        </w:rPr>
        <w:t>FA/u</w:t>
      </w:r>
    </w:p>
    <w:p>
      <w:pPr>
        <w:pStyle w:val="Normal"/>
        <w:rPr>
          <w:rFonts w:ascii="Arial" w:hAnsi="Arial" w:cs="Arial"/>
          <w:sz w:val="32"/>
        </w:rPr>
      </w:pPr>
      <w:r>
        <w:rPr>
          <w:rFonts w:cs="Arial" w:ascii="Arial" w:hAnsi="Arial"/>
          <w:sz w:val="32"/>
        </w:rPr>
      </w:r>
    </w:p>
    <w:p>
      <w:pPr>
        <w:pStyle w:val="Normal"/>
        <w:rPr>
          <w:rFonts w:ascii="Arial" w:hAnsi="Arial" w:cs="Arial"/>
        </w:rPr>
      </w:pPr>
      <w:r>
        <w:rPr>
          <w:rFonts w:eastAsia="Arial" w:cs="Arial" w:ascii="Arial" w:hAnsi="Arial"/>
        </w:rPr>
        <w:t xml:space="preserve"> </w:t>
      </w:r>
      <w:r>
        <w:rPr>
          <w:rFonts w:cs="Arial" w:ascii="Arial" w:hAnsi="Arial"/>
        </w:rPr>
        <w:tab/>
        <w:t>FA:</w:t>
        <w:tab/>
        <w:t>total amount appropriated to the "Municipal Utilities Ratepayers' Reduction</w:t>
      </w:r>
    </w:p>
    <w:p>
      <w:pPr>
        <w:pStyle w:val="Normal"/>
        <w:ind w:firstLine="720" w:start="720" w:end="0"/>
        <w:rPr>
          <w:rFonts w:ascii="Arial" w:hAnsi="Arial" w:cs="Arial"/>
        </w:rPr>
      </w:pPr>
      <w:r>
        <w:rPr>
          <w:rFonts w:eastAsia="Arial" w:cs="Arial" w:ascii="Arial" w:hAnsi="Arial"/>
        </w:rPr>
        <w:t xml:space="preserve"> </w:t>
      </w:r>
      <w:r>
        <w:rPr>
          <w:rFonts w:cs="Arial" w:ascii="Arial" w:hAnsi="Arial"/>
        </w:rPr>
        <w:t xml:space="preserve">Fund."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u:</w:t>
        <w:tab/>
        <w:t>electrical energy consumption delivered to energy consumers</w:t>
      </w:r>
    </w:p>
    <w:p>
      <w:pPr>
        <w:pStyle w:val="Normal"/>
        <w:rPr>
          <w:rFonts w:ascii="Arial" w:hAnsi="Arial" w:cs="Arial"/>
        </w:rPr>
      </w:pPr>
      <w:r>
        <w:rPr>
          <w:rFonts w:cs="Arial" w:ascii="Arial" w:hAnsi="Arial"/>
        </w:rPr>
        <w:tab/>
        <w:tab/>
        <w:t xml:space="preserve"> within the borders of the state by municipal utilities in the year 2000</w:t>
        <w:tab/>
        <w:tab/>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offset amount would then be applied to the total amount of energy consumed during the year (e.g., .014756 x 42,580 kW = $62.40).  This rebate amount would then be applied to the January 2002 energy bill.  (NOTE:  The offset amount used in this example constitutes 20% of the Tier 1 energy rate charged to SMUD consumers as of March 2001.  The total amount of energy consumed is the total of each of the twelve monthly utility bills issued during the year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There are any number of alternative mechanisms for delivering such a rate reduction, but the principal reason that I have chosen this one is because it avoids the need for ratepayers to file state income taxes...something a significant number of SMUD ratepayers and an even larger percentage of LADWP ratepayers do NOT do as a result of our state's progressive PIT rate.</w:t>
      </w:r>
    </w:p>
    <w:p>
      <w:pPr>
        <w:pStyle w:val="Normal"/>
        <w:rPr>
          <w:rFonts w:ascii="Arial" w:hAnsi="Arial" w:cs="Arial"/>
        </w:rPr>
      </w:pPr>
      <w:r>
        <w:rPr>
          <w:rFonts w:cs="Arial" w:ascii="Arial" w:hAnsi="Arial"/>
        </w:rPr>
      </w:r>
    </w:p>
    <w:p>
      <w:pPr>
        <w:pStyle w:val="Normal"/>
        <w:rPr/>
      </w:pPr>
      <w:r>
        <w:rPr>
          <w:rFonts w:cs="Arial" w:ascii="Arial" w:hAnsi="Arial"/>
        </w:rPr>
        <w:t xml:space="preserve">Aside from this "bond and muni rate reduction" proposal, Assembly Republicans also seek enactment into law of several different proposals to increase the supply of electricity generation.  Many of these proposals are familiar to you, and comprised commitments made to Assembly Republicans and my predecessor as Republican Leader as part of the effort to pass AB 1x.  </w:t>
      </w:r>
      <w:r>
        <w:rPr>
          <w:rFonts w:cs="Arial" w:ascii="Arial" w:hAnsi="Arial"/>
          <w:b/>
          <w:i/>
          <w:u w:val="single"/>
        </w:rPr>
        <w:t>None of these have as yet been realized</w:t>
      </w:r>
      <w:r>
        <w:rPr>
          <w:rFonts w:cs="Arial" w:ascii="Arial" w:hAnsi="Arial"/>
        </w:rPr>
        <w:t>, and I speak for all 30 members of the Assembly Republican Caucus when I assure you that the failure to see Dave Kelley's direct access bill pass out of the Senate; the reduction of AB 34x to a mere study bill, and the lack of action on increasing the CEC exemption for vitally needed "peaker plants" must be part of any comprehensive legislative effort which includes a multi-billion bond issuance.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Attached you will find a preliminary Legislative Counsel draft of the specific "energy-related" elements of our proposal.  I welcome your thoughts and consideration of our views as we continue to work together to address this crisis which affects our state, our economic well-being, and each and every California taxpayer, ratepayer, business and family.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0" w:hanging="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2001-05-02T23:25:00Z</dcterms:created>
  <dc:creator>Assembly Staff</dc:creator>
  <dc:description/>
  <dc:language>en-CA</dc:language>
  <cp:lastModifiedBy>Assembly Staff</cp:lastModifiedBy>
  <cp:lastPrinted>2001-05-02T19:04:00Z</cp:lastPrinted>
  <dcterms:modified xsi:type="dcterms:W3CDTF">2001-05-03T00:16:00Z</dcterms:modified>
  <cp:revision>1</cp:revision>
  <dc:subject/>
  <dc:title>TO:</dc:title>
</cp:coreProperties>
</file>