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PROJECT FREEMONT</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Heading6"/>
        <w:ind w:hanging="0" w:start="0"/>
        <w:rPr/>
      </w:pPr>
      <w:r>
        <w:rPr/>
        <w:t>I.</w:t>
        <w:tab/>
        <w:t>Overview of Project Freemont</w:t>
      </w:r>
    </w:p>
    <w:p>
      <w:pPr>
        <w:pStyle w:val="Normal"/>
        <w:rPr>
          <w:rFonts w:ascii="Arial Narrow" w:hAnsi="Arial Narrow" w:cs="Arial Narrow"/>
          <w:sz w:val="24"/>
        </w:rPr>
      </w:pPr>
      <w:r>
        <w:rPr>
          <w:rFonts w:cs="Arial Narrow" w:ascii="Arial Narrow" w:hAnsi="Arial Narrow"/>
          <w:sz w:val="24"/>
        </w:rPr>
      </w:r>
    </w:p>
    <w:p>
      <w:pPr>
        <w:pStyle w:val="BodyText2"/>
        <w:rPr/>
      </w:pPr>
      <w:r>
        <w:rPr/>
        <w:t>Enron Corp. (“Enron”) seeks to raise up to $1.0 billion through a preferred stock issuance by Transwestern Holding Company (“Transwestern”).  With respect to this issuance, Enron proposes to use a structure consistent with that it recently executed between Northern Natural Gas Company (“Northern Natural”), an Enron subsidiary, and Dynegy Inc. (“Dynegy”).  The following information sheet provides a summary of the transaction and identifies considerations specific to a similar transaction with Transwestern.</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Heading6"/>
        <w:ind w:hanging="0" w:start="0"/>
        <w:rPr/>
      </w:pPr>
      <w:r>
        <w:rPr/>
        <w:t>II.</w:t>
        <w:tab/>
        <w:t>Overview of the Northern Natural Transaction</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Simultaneously with the execution of the merger agreement between Dynegy and Enron, Northern Natural issued $1.5 billion of preferred stock to Dynegy.  The primary purpose of the preferred stock issuance was to provide liquidity to Enron during the interim period between signing and closing of the merger.   In the event the merger fails, Enron and Dynegy have certain redemption, purchase and exchange rights.  Generally, there are two primary outcomes:  (i) Dynegy exchanges the preferred for Enron common shares at a strike price of $8.86 per share; and (ii) Dynegy acquires 100 percent of the common shares of Northern Natural.  In all cases, Enron has the right to either redeem the preferred stock or repurchase the common stock of Northern Natural for the face value plus accrued interest of the preferred stock.</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Heading6"/>
        <w:ind w:hanging="0" w:start="0"/>
        <w:rPr/>
      </w:pPr>
      <w:r>
        <w:rPr/>
        <w:t>III.</w:t>
        <w:tab/>
        <w:t>Northern Natural Transaction Structure</w:t>
      </w:r>
    </w:p>
    <w:p>
      <w:pPr>
        <w:pStyle w:val="Normal"/>
        <w:rPr>
          <w:rFonts w:ascii="Arial Narrow" w:hAnsi="Arial Narrow" w:cs="Arial Narrow"/>
          <w:sz w:val="24"/>
        </w:rPr>
      </w:pPr>
      <w:r>
        <w:rPr>
          <w:rFonts w:cs="Arial Narrow" w:ascii="Arial Narrow" w:hAnsi="Arial Narrow"/>
          <w:sz w:val="24"/>
        </w:rPr>
      </w:r>
    </w:p>
    <w:p>
      <w:pPr>
        <w:pStyle w:val="BodyText2"/>
        <w:rPr/>
      </w:pPr>
      <w:r>
        <w:rPr/>
        <w:t xml:space="preserve">As shown in the attached diagram (“Attachment A”), the $1.5 billion purchase price for the preferred stock assumes that Northern Natural will raise an incremental $450 of new bank debt.  The proceeds from the sale of the preferred stock would be loaned to the LLC and subsequently distributed to Enron for general corporate purposes.  The incremental bank debt raised by Northern Natural would also be loaned to the LLC and subsequently distributed to Enron.  </w:t>
      </w:r>
    </w:p>
    <w:p>
      <w:pPr>
        <w:pStyle w:val="BodyText2"/>
        <w:rPr/>
      </w:pPr>
      <w:r>
        <w:rPr/>
      </w:r>
    </w:p>
    <w:p>
      <w:pPr>
        <w:pStyle w:val="BodyText2"/>
        <w:rPr/>
      </w:pPr>
      <w:r>
        <w:rPr/>
        <w:t>Dynegy, through Dynegy Holdings, acquired an option (the “Option”) to acquire all of the membership interests in the LLC.  The Option strike price would account for any changes including: (i) the balance of new debt or existing senior notes (principal repayments); and (ii) working capital from September 30, 2001.  In the event Dynegy exercises its rights under the Option, the intercompany note between Enron and Northern Natural would be reduced to a balance of $240 million and Dynegy would retire or assume the existing debt at Northern Natural and replace the appropriate guarantees from Enron.  The purpose of the intercompany note is to sweep cash and provide working capital requirements at Northern Natural.  The intercompany note would remain payable to Northern Natural after Dynegy exercises its purchase option.</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Heading6"/>
        <w:ind w:hanging="0" w:start="0"/>
        <w:rPr/>
      </w:pPr>
      <w:r>
        <w:rPr/>
        <w:t>IV.</w:t>
        <w:tab/>
        <w:t>Summary of Redemption, Purchase Option and Exchange Rights</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t xml:space="preserve">Generally, there are five categories of events that could lead to the merger failing: breaches of covenants in the merger agreement by Enron, breaches of covenants in the merger agreement by Dynegy, Enron pays a merger termination breakage fee for fiduciary and related outs, Dynegy pays a merger termination breakage fee for fiduciary and related outs, and no fault merger termination events such as regulatory approvals not being received.   The attached matrix (“Attachment B”) summarizes the rights of the parties under each of the termination scenarios addressed in the merger agreement.  </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b/>
          <w:bCs/>
          <w:sz w:val="24"/>
        </w:rPr>
      </w:pPr>
      <w:r>
        <w:rPr>
          <w:rFonts w:cs="Arial Narrow" w:ascii="Arial Narrow" w:hAnsi="Arial Narrow"/>
          <w:b/>
          <w:bCs/>
          <w:sz w:val="24"/>
        </w:rPr>
        <w:t>V.</w:t>
        <w:tab/>
        <w:t>Preferred Stock Documents</w:t>
      </w:r>
    </w:p>
    <w:p>
      <w:pPr>
        <w:pStyle w:val="Normal"/>
        <w:rPr>
          <w:rFonts w:ascii="Arial Narrow" w:hAnsi="Arial Narrow" w:cs="Arial Narrow"/>
          <w:b/>
          <w:bCs/>
          <w:sz w:val="24"/>
        </w:rPr>
      </w:pPr>
      <w:r>
        <w:rPr>
          <w:rFonts w:cs="Arial Narrow" w:ascii="Arial Narrow" w:hAnsi="Arial Narrow"/>
          <w:b/>
          <w:bCs/>
          <w:sz w:val="24"/>
        </w:rPr>
      </w:r>
    </w:p>
    <w:p>
      <w:pPr>
        <w:pStyle w:val="Normal"/>
        <w:rPr>
          <w:rFonts w:ascii="Arial Narrow" w:hAnsi="Arial Narrow" w:cs="Arial Narrow"/>
          <w:sz w:val="24"/>
        </w:rPr>
      </w:pPr>
      <w:r>
        <w:rPr>
          <w:rFonts w:cs="Arial Narrow" w:ascii="Arial Narrow" w:hAnsi="Arial Narrow"/>
          <w:sz w:val="24"/>
        </w:rPr>
        <w:t xml:space="preserve">Attached is a draft term sheet that summarizes Dynegy’s purchase of preferred stock from Northern Natural as discussed generally in this summary.  All the documents relating to the merger and purchase of preferred stock are now publicly filed and will be made readily available.  A brief summary of the relevant documents related to the issuance of the preferred stock is as follows: </w:t>
      </w:r>
    </w:p>
    <w:p>
      <w:pPr>
        <w:pStyle w:val="Normal"/>
        <w:rPr>
          <w:rFonts w:ascii="Arial Narrow" w:hAnsi="Arial Narrow" w:cs="Arial Narrow"/>
          <w:sz w:val="24"/>
        </w:rPr>
      </w:pPr>
      <w:r>
        <w:rPr>
          <w:rFonts w:cs="Arial Narrow" w:ascii="Arial Narrow" w:hAnsi="Arial Narrow"/>
          <w:sz w:val="24"/>
        </w:rPr>
      </w:r>
    </w:p>
    <w:p>
      <w:pPr>
        <w:pStyle w:val="Normal"/>
        <w:numPr>
          <w:ilvl w:val="0"/>
          <w:numId w:val="3"/>
        </w:numPr>
        <w:rPr>
          <w:rFonts w:ascii="Arial Narrow" w:hAnsi="Arial Narrow" w:cs="Arial Narrow"/>
          <w:sz w:val="24"/>
        </w:rPr>
      </w:pPr>
      <w:r>
        <w:rPr>
          <w:rFonts w:cs="Arial Narrow" w:ascii="Arial Narrow" w:hAnsi="Arial Narrow"/>
          <w:i/>
          <w:iCs/>
          <w:sz w:val="24"/>
        </w:rPr>
        <w:t>Subscription Agreement</w:t>
      </w:r>
      <w:r>
        <w:rPr>
          <w:rFonts w:cs="Arial Narrow" w:ascii="Arial Narrow" w:hAnsi="Arial Narrow"/>
          <w:sz w:val="24"/>
        </w:rPr>
        <w:t xml:space="preserve"> - outlines the terms and conditions associated with the purchase of the preferred stock from Northern Natural.</w:t>
      </w:r>
    </w:p>
    <w:p>
      <w:pPr>
        <w:pStyle w:val="Normal"/>
        <w:numPr>
          <w:ilvl w:val="0"/>
          <w:numId w:val="3"/>
        </w:numPr>
        <w:rPr>
          <w:rFonts w:ascii="Arial Narrow" w:hAnsi="Arial Narrow" w:cs="Arial Narrow"/>
          <w:sz w:val="24"/>
        </w:rPr>
      </w:pPr>
      <w:r>
        <w:rPr>
          <w:rFonts w:cs="Arial Narrow" w:ascii="Arial Narrow" w:hAnsi="Arial Narrow"/>
          <w:i/>
          <w:iCs/>
          <w:sz w:val="24"/>
        </w:rPr>
        <w:t>Exchange Agreement</w:t>
      </w:r>
      <w:r>
        <w:rPr>
          <w:rFonts w:cs="Arial Narrow" w:ascii="Arial Narrow" w:hAnsi="Arial Narrow"/>
          <w:sz w:val="24"/>
        </w:rPr>
        <w:t xml:space="preserve"> - outlines Enron and Dynegy’s ability to choose or force conversion to Enron common stock.</w:t>
      </w:r>
    </w:p>
    <w:p>
      <w:pPr>
        <w:pStyle w:val="Normal"/>
        <w:numPr>
          <w:ilvl w:val="0"/>
          <w:numId w:val="3"/>
        </w:numPr>
        <w:rPr>
          <w:rFonts w:ascii="Arial Narrow" w:hAnsi="Arial Narrow" w:cs="Arial Narrow"/>
          <w:sz w:val="24"/>
        </w:rPr>
      </w:pPr>
      <w:r>
        <w:rPr>
          <w:rFonts w:cs="Arial Narrow" w:ascii="Arial Narrow" w:hAnsi="Arial Narrow"/>
          <w:i/>
          <w:iCs/>
          <w:sz w:val="24"/>
        </w:rPr>
        <w:t>Option Agreement</w:t>
      </w:r>
      <w:r>
        <w:rPr>
          <w:rFonts w:cs="Arial Narrow" w:ascii="Arial Narrow" w:hAnsi="Arial Narrow"/>
          <w:sz w:val="24"/>
        </w:rPr>
        <w:t xml:space="preserve"> - addresses Dynegy’s ability to indirectly acquire ownership of Northern Natural’s common by acquiring the LLC.</w:t>
      </w:r>
    </w:p>
    <w:p>
      <w:pPr>
        <w:pStyle w:val="Normal"/>
        <w:numPr>
          <w:ilvl w:val="0"/>
          <w:numId w:val="3"/>
        </w:numPr>
        <w:rPr>
          <w:rFonts w:ascii="Arial Narrow" w:hAnsi="Arial Narrow" w:cs="Arial Narrow"/>
          <w:sz w:val="24"/>
        </w:rPr>
      </w:pPr>
      <w:r>
        <w:rPr>
          <w:rFonts w:cs="Arial Narrow" w:ascii="Arial Narrow" w:hAnsi="Arial Narrow"/>
          <w:i/>
          <w:iCs/>
          <w:sz w:val="24"/>
        </w:rPr>
        <w:t>Purchase Option Agreement</w:t>
      </w:r>
      <w:r>
        <w:rPr>
          <w:rFonts w:cs="Arial Narrow" w:ascii="Arial Narrow" w:hAnsi="Arial Narrow"/>
          <w:sz w:val="24"/>
        </w:rPr>
        <w:t xml:space="preserve"> - addresses Enron’s right to repurchase Northern Natural from Dynegy should Dynegy exercise their rights under the Option Agreement.</w:t>
      </w:r>
    </w:p>
    <w:p>
      <w:pPr>
        <w:pStyle w:val="Normal"/>
        <w:numPr>
          <w:ilvl w:val="0"/>
          <w:numId w:val="3"/>
        </w:numPr>
        <w:rPr>
          <w:rFonts w:ascii="Arial Narrow" w:hAnsi="Arial Narrow" w:cs="Arial Narrow"/>
          <w:sz w:val="24"/>
        </w:rPr>
      </w:pPr>
      <w:r>
        <w:rPr>
          <w:rFonts w:cs="Arial Narrow" w:ascii="Arial Narrow" w:hAnsi="Arial Narrow"/>
          <w:i/>
          <w:iCs/>
          <w:sz w:val="24"/>
        </w:rPr>
        <w:t>Certificate of Designation</w:t>
      </w:r>
      <w:r>
        <w:rPr>
          <w:rFonts w:cs="Arial Narrow" w:ascii="Arial Narrow" w:hAnsi="Arial Narrow"/>
          <w:sz w:val="24"/>
        </w:rPr>
        <w:t xml:space="preserve"> - outlines Enron’s redemption rights.</w:t>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sz w:val="24"/>
        </w:rPr>
      </w:pPr>
      <w:r>
        <w:rPr>
          <w:rFonts w:cs="Arial Narrow" w:ascii="Arial Narrow" w:hAnsi="Arial Narrow"/>
          <w:sz w:val="24"/>
        </w:rPr>
      </w:r>
    </w:p>
    <w:p>
      <w:pPr>
        <w:pStyle w:val="Normal"/>
        <w:rPr>
          <w:rFonts w:ascii="Arial Narrow" w:hAnsi="Arial Narrow" w:cs="Arial Narrow"/>
          <w:b/>
          <w:bCs/>
          <w:sz w:val="24"/>
        </w:rPr>
      </w:pPr>
      <w:r>
        <w:rPr>
          <w:rFonts w:cs="Arial Narrow" w:ascii="Arial Narrow" w:hAnsi="Arial Narrow"/>
          <w:b/>
          <w:bCs/>
          <w:sz w:val="24"/>
        </w:rPr>
        <w:t>VI.</w:t>
        <w:tab/>
        <w:t>Anticipated Modifications to the Northern Natural Preferred Stock</w:t>
      </w:r>
    </w:p>
    <w:p>
      <w:pPr>
        <w:pStyle w:val="Normal"/>
        <w:rPr>
          <w:rFonts w:ascii="Arial Narrow" w:hAnsi="Arial Narrow" w:cs="Arial Narrow"/>
          <w:b/>
          <w:bCs/>
          <w:sz w:val="24"/>
        </w:rPr>
      </w:pPr>
      <w:r>
        <w:rPr>
          <w:rFonts w:cs="Arial Narrow" w:ascii="Arial Narrow" w:hAnsi="Arial Narrow"/>
          <w:b/>
          <w:bCs/>
          <w:sz w:val="24"/>
        </w:rPr>
      </w:r>
    </w:p>
    <w:p>
      <w:pPr>
        <w:pStyle w:val="Normal"/>
        <w:rPr>
          <w:rFonts w:ascii="Arial Narrow" w:hAnsi="Arial Narrow" w:cs="Arial Narrow"/>
          <w:sz w:val="24"/>
        </w:rPr>
      </w:pPr>
      <w:r>
        <w:rPr>
          <w:rFonts w:cs="Arial Narrow" w:ascii="Arial Narrow" w:hAnsi="Arial Narrow"/>
          <w:sz w:val="24"/>
        </w:rPr>
        <w:t xml:space="preserve">When considering a preferred stock issuance by Transwestern, prospective purchasers should recognize that a Transwestern transaction would require selective modifications to the structure of the Northern Natural transaction due to certain differences including different tax attributes of the two pipeline entities and prospective purchasers of Transwestern’s preferred stock not being a party to the merger.  Correspondingly, Enron anticipates that, with respect to a Transwestern preferred stock issuance, revisions to the attached term sheet would include: </w:t>
      </w:r>
    </w:p>
    <w:p>
      <w:pPr>
        <w:pStyle w:val="Normal"/>
        <w:rPr>
          <w:rFonts w:ascii="Arial Narrow" w:hAnsi="Arial Narrow" w:cs="Arial Narrow"/>
          <w:sz w:val="24"/>
        </w:rPr>
      </w:pPr>
      <w:r>
        <w:rPr>
          <w:rFonts w:cs="Arial Narrow" w:ascii="Arial Narrow" w:hAnsi="Arial Narrow"/>
          <w:sz w:val="24"/>
        </w:rPr>
      </w:r>
    </w:p>
    <w:p>
      <w:pPr>
        <w:pStyle w:val="Normal"/>
        <w:numPr>
          <w:ilvl w:val="0"/>
          <w:numId w:val="2"/>
        </w:numPr>
        <w:rPr>
          <w:rFonts w:ascii="Arial Narrow" w:hAnsi="Arial Narrow" w:cs="Arial Narrow"/>
          <w:sz w:val="24"/>
        </w:rPr>
      </w:pPr>
      <w:r>
        <w:rPr>
          <w:rFonts w:cs="Arial Narrow" w:ascii="Arial Narrow" w:hAnsi="Arial Narrow"/>
          <w:sz w:val="24"/>
        </w:rPr>
        <w:t>Modification of certain redemption and exchange rights under various events tied to the merger;</w:t>
      </w:r>
    </w:p>
    <w:p>
      <w:pPr>
        <w:pStyle w:val="Normal"/>
        <w:numPr>
          <w:ilvl w:val="0"/>
          <w:numId w:val="2"/>
        </w:numPr>
        <w:rPr>
          <w:rFonts w:ascii="Arial Narrow" w:hAnsi="Arial Narrow" w:cs="Arial Narrow"/>
          <w:sz w:val="24"/>
        </w:rPr>
      </w:pPr>
      <w:r>
        <w:rPr>
          <w:rFonts w:cs="Arial Narrow" w:ascii="Arial Narrow" w:hAnsi="Arial Narrow"/>
          <w:sz w:val="24"/>
        </w:rPr>
        <w:t>Elimination of the Section 338(h)(10) provision;</w:t>
      </w:r>
    </w:p>
    <w:p>
      <w:pPr>
        <w:pStyle w:val="Normal"/>
        <w:numPr>
          <w:ilvl w:val="0"/>
          <w:numId w:val="2"/>
        </w:numPr>
        <w:rPr>
          <w:rFonts w:ascii="Arial Narrow" w:hAnsi="Arial Narrow" w:cs="Arial Narrow"/>
          <w:sz w:val="24"/>
        </w:rPr>
      </w:pPr>
      <w:r>
        <w:rPr>
          <w:rFonts w:cs="Arial Narrow" w:ascii="Arial Narrow" w:hAnsi="Arial Narrow"/>
          <w:sz w:val="24"/>
        </w:rPr>
        <w:t>Establishment of the exchange pricing; and</w:t>
      </w:r>
    </w:p>
    <w:p>
      <w:pPr>
        <w:pStyle w:val="Normal"/>
        <w:numPr>
          <w:ilvl w:val="0"/>
          <w:numId w:val="2"/>
        </w:numPr>
        <w:rPr>
          <w:rFonts w:ascii="Arial Narrow" w:hAnsi="Arial Narrow" w:cs="Arial Narrow"/>
          <w:sz w:val="24"/>
        </w:rPr>
      </w:pPr>
      <w:r>
        <w:rPr>
          <w:rFonts w:cs="Arial Narrow" w:ascii="Arial Narrow" w:hAnsi="Arial Narrow"/>
          <w:sz w:val="24"/>
        </w:rPr>
        <w:t>Structural differences including the formation of a newly formed holding company of Transwestern.</w:t>
      </w:r>
    </w:p>
    <w:p>
      <w:pPr>
        <w:pStyle w:val="Normal"/>
        <w:rPr>
          <w:rFonts w:ascii="Arial Narrow" w:hAnsi="Arial Narrow" w:cs="Arial Narrow"/>
          <w:sz w:val="16"/>
        </w:rPr>
      </w:pPr>
      <w:r>
        <w:rPr>
          <w:rFonts w:cs="Arial Narrow" w:ascii="Arial Narrow" w:hAnsi="Arial Narrow"/>
          <w:sz w:val="16"/>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6480" w:end="0"/>
      <w:outlineLvl w:val="0"/>
    </w:pPr>
    <w:rPr>
      <w:rFonts w:ascii="Arial Narrow" w:hAnsi="Arial Narrow" w:cs="Arial Narrow"/>
      <w:i/>
      <w:sz w:val="22"/>
    </w:rPr>
  </w:style>
  <w:style w:type="paragraph" w:styleId="Heading2">
    <w:name w:val="heading 2"/>
    <w:basedOn w:val="Normal"/>
    <w:next w:val="Normal"/>
    <w:qFormat/>
    <w:pPr>
      <w:keepNext w:val="true"/>
      <w:numPr>
        <w:ilvl w:val="1"/>
        <w:numId w:val="1"/>
      </w:numPr>
      <w:ind w:hanging="0" w:start="6480" w:end="0"/>
      <w:outlineLvl w:val="1"/>
    </w:pPr>
    <w:rPr>
      <w:rFonts w:ascii="Arial Narrow" w:hAnsi="Arial Narrow" w:cs="Arial Narrow"/>
      <w:b/>
      <w:sz w:val="22"/>
    </w:rPr>
  </w:style>
  <w:style w:type="paragraph" w:styleId="Heading3">
    <w:name w:val="heading 3"/>
    <w:basedOn w:val="Normal"/>
    <w:next w:val="Normal"/>
    <w:qFormat/>
    <w:pPr>
      <w:keepNext w:val="true"/>
      <w:numPr>
        <w:ilvl w:val="2"/>
        <w:numId w:val="1"/>
      </w:numPr>
      <w:ind w:hanging="0" w:start="6480" w:end="0"/>
      <w:outlineLvl w:val="2"/>
    </w:pPr>
    <w:rPr>
      <w:rFonts w:ascii="Arial Narrow" w:hAnsi="Arial Narrow" w:cs="Arial Narrow"/>
      <w:i/>
      <w:sz w:val="16"/>
    </w:rPr>
  </w:style>
  <w:style w:type="paragraph" w:styleId="Heading4">
    <w:name w:val="heading 4"/>
    <w:basedOn w:val="Normal"/>
    <w:next w:val="Normal"/>
    <w:qFormat/>
    <w:pPr>
      <w:keepNext w:val="true"/>
      <w:numPr>
        <w:ilvl w:val="3"/>
        <w:numId w:val="1"/>
      </w:numPr>
      <w:outlineLvl w:val="3"/>
    </w:pPr>
    <w:rPr>
      <w:rFonts w:ascii="Arial Narrow" w:hAnsi="Arial Narrow" w:cs="Arial Narrow"/>
      <w:sz w:val="24"/>
    </w:rPr>
  </w:style>
  <w:style w:type="paragraph" w:styleId="Heading5">
    <w:name w:val="heading 5"/>
    <w:basedOn w:val="Normal"/>
    <w:next w:val="Normal"/>
    <w:qFormat/>
    <w:pPr>
      <w:keepNext w:val="true"/>
      <w:numPr>
        <w:ilvl w:val="4"/>
        <w:numId w:val="1"/>
      </w:numPr>
      <w:outlineLvl w:val="4"/>
    </w:pPr>
    <w:rPr>
      <w:rFonts w:ascii="Arial Narrow" w:hAnsi="Arial Narrow" w:cs="Arial Narrow"/>
      <w:sz w:val="24"/>
      <w:u w:val="single"/>
    </w:rPr>
  </w:style>
  <w:style w:type="paragraph" w:styleId="Heading6">
    <w:name w:val="heading 6"/>
    <w:basedOn w:val="Normal"/>
    <w:next w:val="Normal"/>
    <w:qFormat/>
    <w:pPr>
      <w:keepNext w:val="true"/>
      <w:numPr>
        <w:ilvl w:val="5"/>
        <w:numId w:val="1"/>
      </w:numPr>
      <w:outlineLvl w:val="5"/>
    </w:pPr>
    <w:rPr>
      <w:rFonts w:ascii="Arial Narrow" w:hAnsi="Arial Narrow" w:cs="Arial Narrow"/>
      <w:b/>
      <w:bCs/>
      <w:sz w:val="24"/>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Narrow" w:hAnsi="Arial Narrow" w:cs="Arial Narrow"/>
      <w:b/>
      <w:bCs/>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Date">
    <w:name w:val="Date"/>
    <w:basedOn w:val="Normal"/>
    <w:next w:val="Normal"/>
    <w:qFormat/>
    <w:pPr/>
    <w:rPr/>
  </w:style>
  <w:style w:type="paragraph" w:styleId="AttentionLine">
    <w:name w:val="Attention Line"/>
    <w:basedOn w:val="BodyText"/>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BodyTextIndent">
    <w:name w:val="Body Text Indent"/>
    <w:basedOn w:val="Normal"/>
    <w:pPr>
      <w:ind w:firstLine="720" w:start="0" w:end="0"/>
    </w:pPr>
    <w:rPr>
      <w:rFonts w:ascii="Arial Narrow" w:hAnsi="Arial Narrow" w:cs="Arial Narrow"/>
      <w:sz w:val="24"/>
    </w:rPr>
  </w:style>
  <w:style w:type="paragraph" w:styleId="BodyText2">
    <w:name w:val="Body Text 2"/>
    <w:basedOn w:val="Normal"/>
    <w:qFormat/>
    <w:pPr/>
    <w:rPr>
      <w:rFonts w:ascii="Arial Narrow" w:hAnsi="Arial Narrow" w:cs="Arial Narrow"/>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2001-11-15T12:15:00Z</dcterms:created>
  <dc:creator>Karen Street</dc:creator>
  <dc:description/>
  <dc:language>en-CA</dc:language>
  <cp:lastModifiedBy>jdonahu</cp:lastModifiedBy>
  <cp:lastPrinted>2001-11-15T08:09:00Z</cp:lastPrinted>
  <dcterms:modified xsi:type="dcterms:W3CDTF">2001-11-15T12:20:00Z</dcterms:modified>
  <cp:revision>3</cp:revision>
  <dc:subject/>
  <dc:title>Jeffrey R</dc:title>
</cp:coreProperties>
</file>