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start="0" w:end="0"/>
        <w:rPr>
          <w:sz w:val="18"/>
        </w:rPr>
      </w:pPr>
      <w:r>
        <w:rPr>
          <w:sz w:val="18"/>
        </w:rPr>
      </w:r>
    </w:p>
    <w:p>
      <w:pPr>
        <w:pStyle w:val="Heading2"/>
        <w:spacing w:lineRule="auto" w:line="360"/>
        <w:rPr>
          <w:sz w:val="20"/>
        </w:rPr>
      </w:pPr>
      <w:r>
        <w:rPr>
          <w:sz w:val="20"/>
        </w:rPr>
        <w:t>Company Name</w:t>
      </w:r>
    </w:p>
    <w:p>
      <w:pPr>
        <w:pStyle w:val="Normal"/>
        <w:ind w:start="6480" w:end="0"/>
        <w:rPr>
          <w:rFonts w:ascii="Arial Narrow" w:hAnsi="Arial Narrow" w:cs="Arial Narrow"/>
          <w:sz w:val="18"/>
        </w:rPr>
      </w:pPr>
      <w:r>
        <w:rPr>
          <w:rFonts w:cs="Arial Narrow" w:ascii="Arial Narrow" w:hAnsi="Arial Narrow"/>
          <w:i/>
          <w:sz w:val="18"/>
        </w:rPr>
        <w:t>Address</w:t>
      </w:r>
    </w:p>
    <w:p>
      <w:pPr>
        <w:pStyle w:val="Normal"/>
        <w:rPr>
          <w:rFonts w:ascii="Arial Narrow" w:hAnsi="Arial Narrow" w:cs="Arial Narrow"/>
          <w:sz w:val="16"/>
        </w:rPr>
      </w:pPr>
      <w:r>
        <w:rPr>
          <w:rFonts w:cs="Arial Narrow" w:ascii="Arial Narrow" w:hAnsi="Arial Narrow"/>
          <w:sz w:val="16"/>
        </w:rPr>
      </w:r>
    </w:p>
    <w:p>
      <w:pPr>
        <w:pStyle w:val="Normal"/>
        <w:rPr>
          <w:rFonts w:ascii="Arial Narrow" w:hAnsi="Arial Narrow" w:cs="Arial Narrow"/>
          <w:sz w:val="24"/>
        </w:rPr>
      </w:pPr>
      <w:r>
        <w:rPr>
          <w:rFonts w:cs="Arial Narrow" w:ascii="Arial Narrow" w:hAnsi="Arial Narrow"/>
          <w:sz w:val="24"/>
        </w:rPr>
      </w:r>
    </w:p>
    <w:p>
      <w:pPr>
        <w:pStyle w:val="Normal"/>
        <w:rPr>
          <w:rFonts w:ascii="Arial Narrow" w:hAnsi="Arial Narrow" w:cs="Arial Narrow"/>
          <w:sz w:val="24"/>
        </w:rPr>
      </w:pPr>
      <w:r>
        <w:rPr>
          <w:rFonts w:cs="Arial Narrow" w:ascii="Arial Narrow" w:hAnsi="Arial Narrow"/>
          <w:sz w:val="24"/>
        </w:rPr>
      </w:r>
    </w:p>
    <w:p>
      <w:pPr>
        <w:pStyle w:val="Normal"/>
        <w:rPr>
          <w:rFonts w:ascii="Arial Narrow" w:hAnsi="Arial Narrow" w:cs="Arial Narrow"/>
          <w:sz w:val="24"/>
        </w:rPr>
      </w:pPr>
      <w:r>
        <w:rPr>
          <w:rFonts w:cs="Arial Narrow" w:ascii="Arial Narrow" w:hAnsi="Arial Narrow"/>
          <w:sz w:val="24"/>
        </w:rPr>
        <w:t>Dear _________:</w:t>
      </w:r>
    </w:p>
    <w:p>
      <w:pPr>
        <w:pStyle w:val="Normal"/>
        <w:rPr>
          <w:rFonts w:ascii="Arial Narrow" w:hAnsi="Arial Narrow" w:cs="Arial Narrow"/>
          <w:sz w:val="24"/>
        </w:rPr>
      </w:pPr>
      <w:r>
        <w:rPr>
          <w:rFonts w:cs="Arial Narrow" w:ascii="Arial Narrow" w:hAnsi="Arial Narrow"/>
          <w:sz w:val="24"/>
        </w:rPr>
      </w:r>
    </w:p>
    <w:p>
      <w:pPr>
        <w:pStyle w:val="Normal"/>
        <w:rPr>
          <w:rFonts w:ascii="Arial Narrow" w:hAnsi="Arial Narrow" w:cs="Arial Narrow"/>
          <w:sz w:val="24"/>
        </w:rPr>
      </w:pPr>
      <w:r>
        <w:rPr>
          <w:rFonts w:cs="Arial Narrow" w:ascii="Arial Narrow" w:hAnsi="Arial Narrow"/>
          <w:sz w:val="24"/>
        </w:rPr>
        <w:tab/>
        <w:t>[Personal intro]</w:t>
      </w:r>
    </w:p>
    <w:p>
      <w:pPr>
        <w:pStyle w:val="Normal"/>
        <w:rPr>
          <w:rFonts w:ascii="Arial Narrow" w:hAnsi="Arial Narrow" w:cs="Arial Narrow"/>
          <w:sz w:val="24"/>
        </w:rPr>
      </w:pPr>
      <w:r>
        <w:rPr>
          <w:rFonts w:cs="Arial Narrow" w:ascii="Arial Narrow" w:hAnsi="Arial Narrow"/>
          <w:sz w:val="24"/>
        </w:rPr>
      </w:r>
    </w:p>
    <w:p>
      <w:pPr>
        <w:pStyle w:val="Normal"/>
        <w:rPr>
          <w:rFonts w:ascii="Arial Narrow" w:hAnsi="Arial Narrow" w:cs="Arial Narrow"/>
          <w:sz w:val="24"/>
        </w:rPr>
      </w:pPr>
      <w:r>
        <w:rPr>
          <w:rFonts w:cs="Arial Narrow" w:ascii="Arial Narrow" w:hAnsi="Arial Narrow"/>
          <w:sz w:val="24"/>
        </w:rPr>
        <w:tab/>
        <w:t xml:space="preserve">Attached please find a copy of the executed agreements for Dynegy’s purchase of preferred stock from Northern Natural Gas Company.  These agreements discuss the parties’ conversion, redemption and exchange rights under different events associated with the proposed merger.  Also, included is a powerpoint slide depicting the structure encompassed in these agreements.  We are contemplating a similar structure for the purchaser of preferred stock from Transwestern and expect to be able to leverage off much of the work done for the Northern transaction.  </w:t>
      </w:r>
    </w:p>
    <w:p>
      <w:pPr>
        <w:pStyle w:val="Normal"/>
        <w:rPr>
          <w:rFonts w:ascii="Arial Narrow" w:hAnsi="Arial Narrow" w:cs="Arial Narrow"/>
          <w:sz w:val="24"/>
        </w:rPr>
      </w:pPr>
      <w:r>
        <w:rPr>
          <w:rFonts w:cs="Arial Narrow" w:ascii="Arial Narrow" w:hAnsi="Arial Narrow"/>
          <w:sz w:val="24"/>
        </w:rPr>
      </w:r>
    </w:p>
    <w:p>
      <w:pPr>
        <w:pStyle w:val="Normal"/>
        <w:ind w:firstLine="720" w:end="0"/>
        <w:rPr>
          <w:rFonts w:ascii="Arial Narrow" w:hAnsi="Arial Narrow" w:cs="Arial Narrow"/>
          <w:sz w:val="24"/>
        </w:rPr>
      </w:pPr>
      <w:r>
        <w:rPr>
          <w:rFonts w:cs="Arial Narrow" w:ascii="Arial Narrow" w:hAnsi="Arial Narrow"/>
          <w:sz w:val="24"/>
        </w:rPr>
        <w:t xml:space="preserve">Given (i) the different tax attributes of the two pipeline entities, (ii) differences between the prospective purchasers of Transwestern’s paper relative to Dynegy, and (iii) current market conditions, we anticipate that revisions to the attached agreement would include </w:t>
      </w:r>
    </w:p>
    <w:p>
      <w:pPr>
        <w:pStyle w:val="Normal"/>
        <w:rPr>
          <w:rFonts w:ascii="Arial Narrow" w:hAnsi="Arial Narrow" w:cs="Arial Narrow"/>
          <w:sz w:val="24"/>
        </w:rPr>
      </w:pPr>
      <w:r>
        <w:rPr>
          <w:rFonts w:cs="Arial Narrow" w:ascii="Arial Narrow" w:hAnsi="Arial Narrow"/>
          <w:sz w:val="24"/>
        </w:rPr>
      </w:r>
    </w:p>
    <w:p>
      <w:pPr>
        <w:pStyle w:val="Normal"/>
        <w:numPr>
          <w:ilvl w:val="0"/>
          <w:numId w:val="2"/>
        </w:numPr>
        <w:rPr>
          <w:rFonts w:ascii="Arial Narrow" w:hAnsi="Arial Narrow" w:cs="Arial Narrow"/>
          <w:sz w:val="24"/>
        </w:rPr>
      </w:pPr>
      <w:r>
        <w:rPr>
          <w:rFonts w:cs="Arial Narrow" w:ascii="Arial Narrow" w:hAnsi="Arial Narrow"/>
          <w:sz w:val="24"/>
        </w:rPr>
        <w:t>Redemption and exchange rights under various events tied to the merger</w:t>
      </w:r>
    </w:p>
    <w:p>
      <w:pPr>
        <w:pStyle w:val="Normal"/>
        <w:numPr>
          <w:ilvl w:val="0"/>
          <w:numId w:val="2"/>
        </w:numPr>
        <w:rPr>
          <w:rFonts w:ascii="Arial Narrow" w:hAnsi="Arial Narrow" w:cs="Arial Narrow"/>
          <w:sz w:val="24"/>
        </w:rPr>
      </w:pPr>
      <w:r>
        <w:rPr>
          <w:rFonts w:cs="Arial Narrow" w:ascii="Arial Narrow" w:hAnsi="Arial Narrow"/>
          <w:sz w:val="24"/>
        </w:rPr>
        <w:t>Elimination of the 338(h)10 provision</w:t>
      </w:r>
    </w:p>
    <w:p>
      <w:pPr>
        <w:pStyle w:val="Normal"/>
        <w:numPr>
          <w:ilvl w:val="0"/>
          <w:numId w:val="2"/>
        </w:numPr>
        <w:rPr>
          <w:rFonts w:ascii="Arial Narrow" w:hAnsi="Arial Narrow" w:cs="Arial Narrow"/>
          <w:sz w:val="24"/>
        </w:rPr>
      </w:pPr>
      <w:r>
        <w:rPr>
          <w:rFonts w:cs="Arial Narrow" w:ascii="Arial Narrow" w:hAnsi="Arial Narrow"/>
          <w:sz w:val="24"/>
        </w:rPr>
        <w:t>Exchange pricing</w:t>
      </w:r>
    </w:p>
    <w:p>
      <w:pPr>
        <w:pStyle w:val="BodyTextIndent"/>
        <w:rPr>
          <w:rFonts w:ascii="Arial Narrow" w:hAnsi="Arial Narrow" w:cs="Arial Narrow"/>
          <w:sz w:val="24"/>
        </w:rPr>
      </w:pPr>
      <w:r>
        <w:rPr>
          <w:rFonts w:cs="Arial Narrow"/>
          <w:sz w:val="24"/>
        </w:rPr>
      </w:r>
    </w:p>
    <w:p>
      <w:pPr>
        <w:pStyle w:val="BodyTextIndent"/>
        <w:rPr/>
      </w:pPr>
      <w:r>
        <w:rPr/>
      </w:r>
    </w:p>
    <w:p>
      <w:pPr>
        <w:pStyle w:val="BodyTextIndent"/>
        <w:rPr/>
      </w:pPr>
      <w:r>
        <w:rPr/>
        <w:t>Should you have any questions concerning the mechanics of Northern’s preferred stock issuance, please feel free to contact [Mitch Taylor?] at _________________.</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b/>
          <w:color w:val="0000FF"/>
          <w:sz w:val="16"/>
        </w:rPr>
      </w:pPr>
      <w:r>
        <w:rPr>
          <w:rFonts w:cs="Arial" w:ascii="Arial" w:hAnsi="Arial"/>
          <w:b/>
          <w:color w:val="0000FF"/>
          <w:sz w:val="16"/>
        </w:rPr>
      </w:r>
    </w:p>
    <w:p>
      <w:pPr>
        <w:pStyle w:val="Normal"/>
        <w:jc w:val="center"/>
        <w:rPr>
          <w:b/>
          <w:color w:val="0000FF"/>
          <w:sz w:val="16"/>
        </w:rPr>
      </w:pPr>
      <w:r>
        <w:rPr>
          <w:b/>
          <w:color w:val="0000FF"/>
          <w:sz w:val="16"/>
        </w:rPr>
      </w:r>
    </w:p>
    <w:p>
      <w:pPr>
        <w:pStyle w:val="Normal"/>
        <w:rPr>
          <w:b/>
          <w:color w:val="0000FF"/>
          <w:sz w:val="16"/>
        </w:rPr>
      </w:pPr>
      <w:r>
        <w:rPr>
          <w:b/>
          <w:color w:val="0000FF"/>
          <w:sz w:val="16"/>
        </w:rPr>
      </w:r>
    </w:p>
    <w:p>
      <w:pPr>
        <w:pStyle w:val="Normal"/>
        <w:rPr>
          <w:b/>
          <w:color w:val="0000FF"/>
          <w:sz w:val="16"/>
        </w:rPr>
      </w:pPr>
      <w:r>
        <w:rPr>
          <w:b/>
          <w:color w:val="0000FF"/>
          <w:sz w:val="16"/>
        </w:rPr>
      </w:r>
    </w:p>
    <w:p>
      <w:pPr>
        <w:pStyle w:val="Normal"/>
        <w:rPr>
          <w:b/>
          <w:color w:val="0000FF"/>
          <w:sz w:val="16"/>
        </w:rPr>
      </w:pPr>
      <w:r>
        <w:rPr>
          <w:b/>
          <w:color w:val="0000FF"/>
          <w:sz w:val="16"/>
        </w:rPr>
      </w:r>
    </w:p>
    <w:p>
      <w:pPr>
        <w:pStyle w:val="Normal"/>
        <w:jc w:val="center"/>
        <w:rPr>
          <w:b/>
          <w:color w:val="0000FF"/>
          <w:sz w:val="16"/>
        </w:rPr>
      </w:pPr>
      <w:r>
        <w:rPr>
          <w:b/>
          <w:color w:val="0000FF"/>
          <w:sz w:val="16"/>
        </w:rPr>
      </w:r>
    </w:p>
    <w:p>
      <w:pPr>
        <w:pStyle w:val="Normal"/>
        <w:rPr>
          <w:sz w:val="16"/>
        </w:rPr>
      </w:pPr>
      <w:r>
        <w:rPr>
          <w:sz w:val="16"/>
        </w:rPr>
      </w:r>
    </w:p>
    <w:sectPr>
      <w:type w:val="nextPage"/>
      <w:pgSz w:w="12240" w:h="15840"/>
      <w:pgMar w:left="1800" w:right="1800" w:gutter="0" w:header="0" w:top="1080" w:footer="0" w:bottom="63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1080"/>
        </w:tabs>
        <w:ind w:start="108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0" w:start="6480" w:end="0"/>
      <w:outlineLvl w:val="0"/>
    </w:pPr>
    <w:rPr>
      <w:rFonts w:ascii="Arial Narrow" w:hAnsi="Arial Narrow" w:cs="Arial Narrow"/>
      <w:i/>
      <w:sz w:val="22"/>
    </w:rPr>
  </w:style>
  <w:style w:type="paragraph" w:styleId="Heading2">
    <w:name w:val="heading 2"/>
    <w:basedOn w:val="Normal"/>
    <w:next w:val="Normal"/>
    <w:qFormat/>
    <w:pPr>
      <w:keepNext w:val="true"/>
      <w:numPr>
        <w:ilvl w:val="1"/>
        <w:numId w:val="1"/>
      </w:numPr>
      <w:ind w:hanging="0" w:start="6480" w:end="0"/>
      <w:outlineLvl w:val="1"/>
    </w:pPr>
    <w:rPr>
      <w:rFonts w:ascii="Arial Narrow" w:hAnsi="Arial Narrow" w:cs="Arial Narrow"/>
      <w:b/>
      <w:sz w:val="22"/>
    </w:rPr>
  </w:style>
  <w:style w:type="paragraph" w:styleId="Heading3">
    <w:name w:val="heading 3"/>
    <w:basedOn w:val="Normal"/>
    <w:next w:val="Normal"/>
    <w:qFormat/>
    <w:pPr>
      <w:keepNext w:val="true"/>
      <w:numPr>
        <w:ilvl w:val="2"/>
        <w:numId w:val="1"/>
      </w:numPr>
      <w:ind w:hanging="0" w:start="6480" w:end="0"/>
      <w:outlineLvl w:val="2"/>
    </w:pPr>
    <w:rPr>
      <w:rFonts w:ascii="Arial Narrow" w:hAnsi="Arial Narrow" w:cs="Arial Narrow"/>
      <w:i/>
      <w:sz w:val="16"/>
    </w:rPr>
  </w:style>
  <w:style w:type="paragraph" w:styleId="Heading4">
    <w:name w:val="heading 4"/>
    <w:basedOn w:val="Normal"/>
    <w:next w:val="Normal"/>
    <w:qFormat/>
    <w:pPr>
      <w:keepNext w:val="true"/>
      <w:numPr>
        <w:ilvl w:val="3"/>
        <w:numId w:val="1"/>
      </w:numPr>
      <w:outlineLvl w:val="3"/>
    </w:pPr>
    <w:rPr>
      <w:rFonts w:ascii="Arial Narrow" w:hAnsi="Arial Narrow" w:cs="Arial Narrow"/>
      <w:sz w:val="24"/>
    </w:rPr>
  </w:style>
  <w:style w:type="character" w:styleId="WW8Num1z0">
    <w:name w:val="WW8Num1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InsideAddressName">
    <w:name w:val="Inside Address Name"/>
    <w:basedOn w:val="Normal"/>
    <w:qFormat/>
    <w:pPr/>
    <w:rPr/>
  </w:style>
  <w:style w:type="paragraph" w:styleId="InsideAddress">
    <w:name w:val="Inside Address"/>
    <w:basedOn w:val="Normal"/>
    <w:qFormat/>
    <w:pPr/>
    <w:rPr/>
  </w:style>
  <w:style w:type="paragraph" w:styleId="Date">
    <w:name w:val="Date"/>
    <w:basedOn w:val="Normal"/>
    <w:next w:val="Normal"/>
    <w:qFormat/>
    <w:pPr/>
    <w:rPr/>
  </w:style>
  <w:style w:type="paragraph" w:styleId="AttentionLine">
    <w:name w:val="Attention Line"/>
    <w:basedOn w:val="BodyText"/>
    <w:qFormat/>
    <w:pPr/>
    <w:rPr/>
  </w:style>
  <w:style w:type="paragraph" w:styleId="Salutation">
    <w:name w:val="Salutation"/>
    <w:basedOn w:val="Normal"/>
    <w:next w:val="Normal"/>
    <w:qFormat/>
    <w:pPr/>
    <w:rPr/>
  </w:style>
  <w:style w:type="paragraph" w:styleId="Closing">
    <w:name w:val="Closing"/>
    <w:basedOn w:val="Normal"/>
    <w:qFormat/>
    <w:pPr/>
    <w:rPr/>
  </w:style>
  <w:style w:type="paragraph" w:styleId="Signature">
    <w:name w:val="Signature"/>
    <w:basedOn w:val="Normal"/>
    <w:pPr/>
    <w:rPr/>
  </w:style>
  <w:style w:type="paragraph" w:styleId="BodyTextIndent">
    <w:name w:val="Body Text Indent"/>
    <w:basedOn w:val="Normal"/>
    <w:pPr>
      <w:ind w:firstLine="720" w:start="0" w:end="0"/>
    </w:pPr>
    <w:rPr>
      <w:rFonts w:ascii="Arial Narrow" w:hAnsi="Arial Narrow" w:cs="Arial Narrow"/>
      <w:sz w:val="24"/>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2001-11-13T21:26:00Z</dcterms:created>
  <dc:creator>Karen Street</dc:creator>
  <dc:description/>
  <dc:language>en-CA</dc:language>
  <cp:lastModifiedBy>jgolden</cp:lastModifiedBy>
  <cp:lastPrinted>2001-11-13T18:06:00Z</cp:lastPrinted>
  <dcterms:modified xsi:type="dcterms:W3CDTF">2001-11-13T21:54:00Z</dcterms:modified>
  <cp:revision>4</cp:revision>
  <dc:subject/>
  <dc:title>Jeffrey R</dc:title>
</cp:coreProperties>
</file>