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Normal"/>
        <w:widowControl/>
        <w:jc w:val="center"/>
        <w:rPr>
          <w:b/>
          <w:bCs/>
          <w:sz w:val="24"/>
          <w:szCs w:val="24"/>
        </w:rPr>
      </w:pPr>
      <w:r>
        <w:rPr>
          <w:b/>
          <w:bCs/>
          <w:sz w:val="24"/>
          <w:szCs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bCs/>
                <w:sz w:val="24"/>
                <w:szCs w:val="24"/>
              </w:rPr>
            </w:pPr>
            <w:r>
              <w:rPr>
                <w:b/>
                <w:bCs/>
                <w:sz w:val="24"/>
                <w:szCs w:val="24"/>
              </w:rPr>
              <w:t>To:</w:t>
            </w:r>
          </w:p>
        </w:tc>
        <w:tc>
          <w:tcPr>
            <w:tcW w:w="3330" w:type="dxa"/>
            <w:tcBorders/>
          </w:tcPr>
          <w:p>
            <w:pPr>
              <w:pStyle w:val="To"/>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Doug Arnell</w:t>
            </w:r>
          </w:p>
        </w:tc>
        <w:tc>
          <w:tcPr>
            <w:tcW w:w="2053" w:type="dxa"/>
            <w:gridSpan w:val="3"/>
            <w:tcBorders/>
          </w:tcPr>
          <w:p>
            <w:pPr>
              <w:pStyle w:val="Normal"/>
              <w:widowControl/>
              <w:snapToGrid w:val="false"/>
              <w:ind w:start="72" w:end="0"/>
              <w:rPr>
                <w:rFonts w:ascii="Times New Roman" w:hAnsi="Times New Roman" w:eastAsia="Times New Roman" w:cs="Times New Roman"/>
                <w:sz w:val="24"/>
                <w:szCs w:val="24"/>
              </w:rPr>
            </w:pPr>
            <w:r>
              <w:rPr>
                <w:rFonts w:eastAsia="Times New Roman" w:cs="Times New Roman"/>
                <w:sz w:val="24"/>
                <w:szCs w:val="24"/>
              </w:rPr>
            </w:r>
          </w:p>
        </w:tc>
        <w:tc>
          <w:tcPr>
            <w:tcW w:w="2087" w:type="dxa"/>
            <w:tcBorders/>
          </w:tcPr>
          <w:p>
            <w:pPr>
              <w:pStyle w:val="Normal"/>
              <w:widowControl/>
              <w:snapToGrid w:val="false"/>
              <w:rPr>
                <w:b/>
                <w:bCs/>
                <w:sz w:val="24"/>
                <w:szCs w:val="24"/>
              </w:rPr>
            </w:pPr>
            <w:r>
              <w:rPr>
                <w:b/>
                <w:bCs/>
                <w:sz w:val="24"/>
                <w:szCs w:val="24"/>
              </w:rPr>
            </w:r>
          </w:p>
        </w:tc>
      </w:tr>
      <w:tr>
        <w:trPr>
          <w:trHeight w:val="269" w:hRule="exact"/>
        </w:trPr>
        <w:tc>
          <w:tcPr>
            <w:tcW w:w="1440" w:type="dxa"/>
            <w:tcBorders/>
          </w:tcPr>
          <w:p>
            <w:pPr>
              <w:pStyle w:val="Normal"/>
              <w:widowControl/>
              <w:snapToGrid w:val="false"/>
              <w:ind w:start="-108" w:end="0"/>
              <w:rPr>
                <w:b/>
                <w:bCs/>
                <w:sz w:val="24"/>
                <w:szCs w:val="24"/>
              </w:rPr>
            </w:pPr>
            <w:r>
              <w:rPr>
                <w:b/>
                <w:bCs/>
                <w:sz w:val="24"/>
                <w:szCs w:val="24"/>
              </w:rPr>
            </w:r>
          </w:p>
        </w:tc>
        <w:tc>
          <w:tcPr>
            <w:tcW w:w="3330" w:type="dxa"/>
            <w:tcBorders/>
          </w:tcPr>
          <w:p>
            <w:pPr>
              <w:pStyle w:val="Normal"/>
              <w:widowControl/>
              <w:snapToGrid w:val="false"/>
              <w:rPr>
                <w:b/>
                <w:bCs/>
                <w:sz w:val="24"/>
                <w:szCs w:val="24"/>
              </w:rPr>
            </w:pPr>
            <w:r>
              <w:rPr>
                <w:b/>
                <w:bCs/>
                <w:sz w:val="24"/>
                <w:szCs w:val="24"/>
              </w:rPr>
            </w:r>
          </w:p>
        </w:tc>
        <w:tc>
          <w:tcPr>
            <w:tcW w:w="2053" w:type="dxa"/>
            <w:gridSpan w:val="3"/>
            <w:tcBorders/>
          </w:tcPr>
          <w:p>
            <w:pPr>
              <w:pStyle w:val="Normal"/>
              <w:widowControl/>
              <w:snapToGrid w:val="false"/>
              <w:ind w:start="-180" w:end="0"/>
              <w:rPr>
                <w:b/>
                <w:bCs/>
                <w:sz w:val="24"/>
                <w:szCs w:val="24"/>
              </w:rPr>
            </w:pPr>
            <w:r>
              <w:rPr>
                <w:b/>
                <w:bCs/>
                <w:sz w:val="24"/>
                <w:szCs w:val="24"/>
              </w:rPr>
            </w:r>
          </w:p>
        </w:tc>
        <w:tc>
          <w:tcPr>
            <w:tcW w:w="2087" w:type="dxa"/>
            <w:tcBorders/>
          </w:tcPr>
          <w:p>
            <w:pPr>
              <w:pStyle w:val="Normal"/>
              <w:widowControl/>
              <w:snapToGrid w:val="false"/>
              <w:rPr>
                <w:b/>
                <w:bCs/>
                <w:sz w:val="24"/>
                <w:szCs w:val="24"/>
              </w:rPr>
            </w:pPr>
            <w:r>
              <w:rPr>
                <w:b/>
                <w:bCs/>
                <w:sz w:val="24"/>
                <w:szCs w:val="24"/>
              </w:rPr>
            </w:r>
          </w:p>
        </w:tc>
      </w:tr>
      <w:tr>
        <w:trPr>
          <w:trHeight w:val="300" w:hRule="exact"/>
        </w:trPr>
        <w:tc>
          <w:tcPr>
            <w:tcW w:w="1440" w:type="dxa"/>
            <w:tcBorders/>
          </w:tcPr>
          <w:p>
            <w:pPr>
              <w:pStyle w:val="Normal"/>
              <w:widowControl/>
              <w:ind w:start="-108" w:end="0"/>
              <w:rPr>
                <w:b/>
                <w:bCs/>
                <w:sz w:val="24"/>
                <w:szCs w:val="24"/>
              </w:rPr>
            </w:pPr>
            <w:r>
              <w:rPr>
                <w:b/>
                <w:bCs/>
                <w:sz w:val="24"/>
                <w:szCs w:val="24"/>
              </w:rPr>
              <w:t>From:</w:t>
            </w:r>
          </w:p>
        </w:tc>
        <w:tc>
          <w:tcPr>
            <w:tcW w:w="3330" w:type="dxa"/>
            <w:tcBorders/>
          </w:tcPr>
          <w:p>
            <w:pPr>
              <w:pStyle w:val="From"/>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Shelley Corman</w:t>
            </w:r>
          </w:p>
        </w:tc>
        <w:tc>
          <w:tcPr>
            <w:tcW w:w="1539" w:type="dxa"/>
            <w:gridSpan w:val="2"/>
            <w:tcBorders/>
          </w:tcPr>
          <w:p>
            <w:pPr>
              <w:pStyle w:val="Normal"/>
              <w:widowControl/>
              <w:snapToGrid w:val="false"/>
              <w:ind w:start="-180" w:end="0"/>
              <w:jc w:val="end"/>
              <w:rPr>
                <w:rFonts w:ascii="Times New Roman" w:hAnsi="Times New Roman" w:eastAsia="Times New Roman" w:cs="Times New Roman"/>
                <w:b/>
                <w:bCs/>
                <w:sz w:val="24"/>
                <w:szCs w:val="24"/>
              </w:rPr>
            </w:pPr>
            <w:r>
              <w:rPr>
                <w:rFonts w:eastAsia="Times New Roman" w:cs="Times New Roman"/>
                <w:b/>
                <w:bCs/>
                <w:sz w:val="24"/>
                <w:szCs w:val="24"/>
              </w:rPr>
            </w:r>
          </w:p>
        </w:tc>
        <w:tc>
          <w:tcPr>
            <w:tcW w:w="2601" w:type="dxa"/>
            <w:gridSpan w:val="2"/>
            <w:tcBorders/>
          </w:tcPr>
          <w:p>
            <w:pPr>
              <w:pStyle w:val="Department"/>
              <w:widowControl/>
              <w:snapToGrid w:val="false"/>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eastAsia="Times New Roman" w:cs="Times New Roman"/>
                <w:b/>
                <w:bCs/>
                <w:sz w:val="24"/>
                <w:szCs w:val="24"/>
              </w:rPr>
            </w:pPr>
            <w:r>
              <w:rPr>
                <w:rFonts w:eastAsia="Times New Roman" w:cs="Times New Roman"/>
                <w:b/>
                <w:bCs/>
                <w:sz w:val="24"/>
                <w:szCs w:val="24"/>
              </w:rPr>
            </w:r>
          </w:p>
        </w:tc>
        <w:tc>
          <w:tcPr>
            <w:tcW w:w="3330" w:type="dxa"/>
            <w:tcBorders/>
          </w:tcPr>
          <w:p>
            <w:pPr>
              <w:pStyle w:val="Normal"/>
              <w:widowControl/>
              <w:snapToGrid w:val="false"/>
              <w:rPr>
                <w:b/>
                <w:bCs/>
                <w:sz w:val="24"/>
                <w:szCs w:val="24"/>
              </w:rPr>
            </w:pPr>
            <w:r>
              <w:rPr>
                <w:b/>
                <w:bCs/>
                <w:sz w:val="24"/>
                <w:szCs w:val="24"/>
              </w:rPr>
            </w:r>
          </w:p>
        </w:tc>
        <w:tc>
          <w:tcPr>
            <w:tcW w:w="2053" w:type="dxa"/>
            <w:gridSpan w:val="3"/>
            <w:tcBorders/>
          </w:tcPr>
          <w:p>
            <w:pPr>
              <w:pStyle w:val="Normal"/>
              <w:widowControl/>
              <w:tabs>
                <w:tab w:val="clear" w:pos="720"/>
                <w:tab w:val="left" w:pos="-108" w:leader="none"/>
              </w:tabs>
              <w:snapToGrid w:val="false"/>
              <w:ind w:start="-180" w:end="0"/>
              <w:rPr>
                <w:b/>
                <w:bCs/>
                <w:sz w:val="24"/>
                <w:szCs w:val="24"/>
              </w:rPr>
            </w:pPr>
            <w:r>
              <w:rPr>
                <w:b/>
                <w:bCs/>
                <w:sz w:val="24"/>
                <w:szCs w:val="24"/>
              </w:rPr>
            </w:r>
          </w:p>
        </w:tc>
        <w:tc>
          <w:tcPr>
            <w:tcW w:w="2087" w:type="dxa"/>
            <w:tcBorders/>
          </w:tcPr>
          <w:p>
            <w:pPr>
              <w:pStyle w:val="Normal"/>
              <w:widowControl/>
              <w:snapToGrid w:val="false"/>
              <w:rPr>
                <w:b/>
                <w:bCs/>
                <w:sz w:val="24"/>
                <w:szCs w:val="24"/>
              </w:rPr>
            </w:pPr>
            <w:r>
              <w:rPr>
                <w:b/>
                <w:bCs/>
                <w:sz w:val="24"/>
                <w:szCs w:val="24"/>
              </w:rPr>
            </w:r>
          </w:p>
        </w:tc>
      </w:tr>
      <w:tr>
        <w:trPr/>
        <w:tc>
          <w:tcPr>
            <w:tcW w:w="1440" w:type="dxa"/>
            <w:tcBorders/>
          </w:tcPr>
          <w:p>
            <w:pPr>
              <w:pStyle w:val="Normal"/>
              <w:widowControl/>
              <w:ind w:start="-108" w:end="0"/>
              <w:rPr>
                <w:b/>
                <w:bCs/>
                <w:sz w:val="24"/>
                <w:szCs w:val="24"/>
              </w:rPr>
            </w:pPr>
            <w:r>
              <w:rPr>
                <w:b/>
                <w:bCs/>
                <w:sz w:val="24"/>
                <w:szCs w:val="24"/>
              </w:rPr>
              <w:t>Subject:</w:t>
            </w:r>
          </w:p>
        </w:tc>
        <w:tc>
          <w:tcPr>
            <w:tcW w:w="3330" w:type="dxa"/>
            <w:tcBorders/>
          </w:tcPr>
          <w:p>
            <w:pPr>
              <w:pStyle w:val="Subject"/>
              <w:widowContro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Cove Point LNG Terminal</w:t>
            </w:r>
          </w:p>
        </w:tc>
        <w:tc>
          <w:tcPr>
            <w:tcW w:w="1232" w:type="dxa"/>
            <w:tcBorders/>
          </w:tcPr>
          <w:p>
            <w:pPr>
              <w:pStyle w:val="Normal"/>
              <w:widowControl/>
              <w:ind w:start="44" w:end="0"/>
              <w:rPr>
                <w:b/>
                <w:bCs/>
                <w:sz w:val="24"/>
                <w:szCs w:val="24"/>
              </w:rPr>
            </w:pPr>
            <w:r>
              <w:rPr>
                <w:b/>
                <w:bCs/>
                <w:sz w:val="24"/>
                <w:szCs w:val="24"/>
              </w:rPr>
              <w:t>Date:</w:t>
            </w:r>
          </w:p>
        </w:tc>
        <w:tc>
          <w:tcPr>
            <w:tcW w:w="2908" w:type="dxa"/>
            <w:gridSpan w:val="3"/>
            <w:tcBorders/>
          </w:tcPr>
          <w:p>
            <w:pPr>
              <w:pStyle w:val="Date"/>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January 31, 2000</w:t>
            </w:r>
          </w:p>
        </w:tc>
      </w:tr>
    </w:tbl>
    <w:p>
      <w:pPr>
        <w:pStyle w:val="Normal"/>
        <w:widowControl/>
        <w:pBdr>
          <w:bottom w:val="single" w:sz="12" w:space="1" w:color="000000"/>
        </w:pBdr>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t xml:space="preserve">Attached are some additional thoughts on two issues raised in your memo on the upcoming Cove Point LNG Terminal Open Season:  </w:t>
      </w:r>
    </w:p>
    <w:p>
      <w:pPr>
        <w:pStyle w:val="Normal"/>
        <w:widowControl/>
        <w:numPr>
          <w:ilvl w:val="0"/>
          <w:numId w:val="2"/>
        </w:numPr>
        <w:tabs>
          <w:tab w:val="clear" w:pos="720"/>
          <w:tab w:val="left" w:pos="0" w:leader="none"/>
        </w:tabs>
        <w:ind w:hanging="720" w:start="720" w:end="0"/>
        <w:rPr>
          <w:sz w:val="24"/>
          <w:szCs w:val="24"/>
        </w:rPr>
      </w:pPr>
      <w:r>
        <w:rPr>
          <w:sz w:val="24"/>
          <w:szCs w:val="24"/>
        </w:rPr>
        <w:t xml:space="preserve">Will FERC allow Cove Point to include in rate base the purchase price above book value paid to PEPCO for their 50% share in the terminal? </w:t>
      </w:r>
    </w:p>
    <w:p>
      <w:pPr>
        <w:pStyle w:val="Normal"/>
        <w:widowControl/>
        <w:numPr>
          <w:ilvl w:val="0"/>
          <w:numId w:val="2"/>
        </w:numPr>
        <w:tabs>
          <w:tab w:val="clear" w:pos="720"/>
          <w:tab w:val="left" w:pos="0" w:leader="none"/>
        </w:tabs>
        <w:ind w:hanging="360" w:start="720" w:end="0"/>
        <w:rPr>
          <w:sz w:val="24"/>
          <w:szCs w:val="24"/>
        </w:rPr>
      </w:pPr>
      <w:r>
        <w:rPr>
          <w:sz w:val="24"/>
          <w:szCs w:val="24"/>
        </w:rPr>
        <w:t>Can Enron successfully argue that Cove Point's storage and send-out capacity should be unbundled?</w:t>
      </w:r>
    </w:p>
    <w:p>
      <w:pPr>
        <w:pStyle w:val="Normal"/>
        <w:widowControl/>
        <w:rPr>
          <w:sz w:val="24"/>
          <w:szCs w:val="24"/>
        </w:rPr>
      </w:pPr>
      <w:r>
        <w:rPr>
          <w:sz w:val="24"/>
          <w:szCs w:val="24"/>
        </w:rPr>
      </w:r>
    </w:p>
    <w:p>
      <w:pPr>
        <w:pStyle w:val="Normal"/>
        <w:widowControl/>
        <w:rPr>
          <w:b/>
          <w:bCs/>
          <w:sz w:val="24"/>
          <w:szCs w:val="24"/>
          <w:u w:val="single"/>
        </w:rPr>
      </w:pPr>
      <w:r>
        <w:rPr>
          <w:b/>
          <w:bCs/>
          <w:sz w:val="24"/>
          <w:szCs w:val="24"/>
          <w:u w:val="single"/>
        </w:rPr>
        <w:t>Background</w:t>
      </w:r>
    </w:p>
    <w:p>
      <w:pPr>
        <w:pStyle w:val="Normal"/>
        <w:widowControl/>
        <w:rPr>
          <w:b/>
          <w:bCs/>
          <w:sz w:val="24"/>
          <w:szCs w:val="24"/>
          <w:u w:val="single"/>
        </w:rPr>
      </w:pPr>
      <w:r>
        <w:rPr>
          <w:b/>
          <w:bCs/>
          <w:sz w:val="24"/>
          <w:szCs w:val="24"/>
          <w:u w:val="single"/>
        </w:rPr>
      </w:r>
    </w:p>
    <w:p>
      <w:pPr>
        <w:pStyle w:val="Normal"/>
        <w:widowControl/>
        <w:rPr>
          <w:sz w:val="24"/>
          <w:szCs w:val="24"/>
        </w:rPr>
      </w:pPr>
      <w:r>
        <w:rPr>
          <w:sz w:val="24"/>
          <w:szCs w:val="24"/>
        </w:rPr>
        <w:t>The Cove Point system was constructed by Consolidated LNG and Columbia LNG and first received shipments of LNG from Algeria  in 1978.  Shipments ceased in December 1980.  Between 1980 and 1994 the facility was mothballed, except for a small amount of transportation provided to Washington Gas. In January 1988, FERC approved a settlement authorizing Consolidated LNG to transfer to Columbia LNG its one-half ownership in the Cove Point facilities and pipeline.  Consolidated LNG was allowed to amortize and recoup from its customers its $198 million investment.  Similar recovery provisions were afforded Columbia LNG in the event it abandoned the system.  At the time Columbia LNG's remaining investment was $151 million.</w:t>
      </w:r>
    </w:p>
    <w:p>
      <w:pPr>
        <w:pStyle w:val="Normal"/>
        <w:widowControl/>
        <w:rPr>
          <w:sz w:val="24"/>
          <w:szCs w:val="24"/>
        </w:rPr>
      </w:pPr>
      <w:r>
        <w:rPr>
          <w:sz w:val="24"/>
          <w:szCs w:val="24"/>
        </w:rPr>
      </w:r>
    </w:p>
    <w:p>
      <w:pPr>
        <w:pStyle w:val="Normal"/>
        <w:widowControl/>
        <w:rPr>
          <w:sz w:val="24"/>
          <w:szCs w:val="24"/>
        </w:rPr>
      </w:pPr>
      <w:r>
        <w:rPr>
          <w:sz w:val="24"/>
          <w:szCs w:val="24"/>
        </w:rPr>
        <w:t xml:space="preserve">In 1994, Columbia LNG proposed to transfer the Cove Point facilities to a new entity, Cove Point LNG, and to recommission the onshore mothballed facilities to provide as an LNG peaking facility.  Columbia relinquished its abandonment and cost recovery rights under the 1988 settlement, and Pepco became a partner in the project.  Cove Point recommissioned two storage tanks (1.2 Bcf), four vaporizers (100,000 Mcf/d max. send-out), a compressor, and an interconnection.  In addition, Cove Point constructed a liquefaction unit.  The application did not cover terminalling service.  Cove Point has announced its intention to seek certificate authority to reopen the terminal facilities by late 2001. </w:t>
      </w:r>
    </w:p>
    <w:p>
      <w:pPr>
        <w:pStyle w:val="Normal"/>
        <w:widowControl/>
        <w:rPr>
          <w:sz w:val="24"/>
          <w:szCs w:val="24"/>
        </w:rPr>
      </w:pPr>
      <w:r>
        <w:rPr>
          <w:sz w:val="24"/>
          <w:szCs w:val="24"/>
        </w:rPr>
      </w:r>
    </w:p>
    <w:p>
      <w:pPr>
        <w:pStyle w:val="Normal"/>
        <w:widowControl/>
        <w:rPr>
          <w:sz w:val="24"/>
          <w:szCs w:val="24"/>
        </w:rPr>
      </w:pPr>
      <w:r>
        <w:rPr>
          <w:sz w:val="24"/>
          <w:szCs w:val="24"/>
        </w:rPr>
        <w:t xml:space="preserve">In December 1999, Columbia LNG acquired Pepco's interest in Cove Point LNG for $40.7 million. </w:t>
      </w:r>
      <w:r>
        <w:br w:type="page"/>
      </w:r>
    </w:p>
    <w:p>
      <w:pPr>
        <w:pStyle w:val="Normal"/>
        <w:widowControl/>
        <w:rPr>
          <w:sz w:val="24"/>
          <w:szCs w:val="24"/>
        </w:rPr>
      </w:pPr>
      <w:r>
        <w:rPr>
          <w:sz w:val="24"/>
          <w:szCs w:val="24"/>
        </w:rPr>
      </w:r>
    </w:p>
    <w:p>
      <w:pPr>
        <w:pStyle w:val="Normal"/>
        <w:widowControl/>
        <w:rPr>
          <w:b/>
          <w:bCs/>
          <w:sz w:val="24"/>
          <w:szCs w:val="24"/>
          <w:u w:val="single"/>
        </w:rPr>
      </w:pPr>
      <w:r>
        <w:rPr>
          <w:b/>
          <w:bCs/>
          <w:sz w:val="24"/>
          <w:szCs w:val="24"/>
          <w:u w:val="single"/>
        </w:rPr>
        <w:t>Inclusion of Purchase Price Premium in Ratemaking</w:t>
      </w:r>
    </w:p>
    <w:p>
      <w:pPr>
        <w:pStyle w:val="Normal"/>
        <w:widowControl/>
        <w:rPr>
          <w:b/>
          <w:bCs/>
          <w:sz w:val="24"/>
          <w:szCs w:val="24"/>
          <w:u w:val="single"/>
        </w:rPr>
      </w:pPr>
      <w:r>
        <w:rPr>
          <w:b/>
          <w:bCs/>
          <w:sz w:val="24"/>
          <w:szCs w:val="24"/>
          <w:u w:val="single"/>
        </w:rPr>
      </w:r>
    </w:p>
    <w:p>
      <w:pPr>
        <w:pStyle w:val="Normal"/>
        <w:widowControl/>
        <w:rPr/>
      </w:pPr>
      <w:r>
        <w:rPr>
          <w:sz w:val="24"/>
          <w:szCs w:val="24"/>
        </w:rPr>
        <w:t>FERC policy generally requires that a regulated entity use the depreciated historical cost of facilities.  The FERC's reasoning is that if a regulated asset is "written-up," ratepayers are subjected to double recovery of depreciation.  See e.g</w:t>
      </w:r>
      <w:r>
        <w:rPr>
          <w:i/>
          <w:iCs/>
          <w:sz w:val="24"/>
          <w:szCs w:val="24"/>
        </w:rPr>
        <w:t>. Northern Border Pipeline Company</w:t>
      </w:r>
      <w:r>
        <w:rPr>
          <w:sz w:val="24"/>
          <w:szCs w:val="24"/>
        </w:rPr>
        <w:t xml:space="preserve">, 73 FERC ¶ 61,286 (1995), reh'g denied, 77 FERC ¶ 61,006 (1996).  </w:t>
      </w:r>
    </w:p>
    <w:p>
      <w:pPr>
        <w:pStyle w:val="Normal"/>
        <w:widowControl/>
        <w:rPr>
          <w:sz w:val="24"/>
          <w:szCs w:val="24"/>
        </w:rPr>
      </w:pPr>
      <w:r>
        <w:rPr>
          <w:sz w:val="24"/>
          <w:szCs w:val="24"/>
        </w:rPr>
      </w:r>
    </w:p>
    <w:p>
      <w:pPr>
        <w:pStyle w:val="Normal"/>
        <w:widowControl/>
        <w:rPr/>
      </w:pPr>
      <w:r>
        <w:rPr>
          <w:sz w:val="24"/>
          <w:szCs w:val="24"/>
        </w:rPr>
        <w:t xml:space="preserve">Occasionally, FERC has permitted a regulated entity to include an acquisition premium in rate base upon a showing of benefit to ratepayers (the so-called "benefits exemption" to the original cost rule).  The requirements of this test are that (1) an acquired facility is being put to a new use; and (2) the purchase price is less that the cost of constructing a comparable facility.   This exemption is quite narrow and has been used in instances where an oil pipeline is being converted to gas service.  </w:t>
      </w:r>
      <w:r>
        <w:rPr>
          <w:i/>
          <w:iCs/>
          <w:sz w:val="24"/>
          <w:szCs w:val="24"/>
        </w:rPr>
        <w:t>Delhi Gas Pipeline</w:t>
      </w:r>
      <w:r>
        <w:rPr>
          <w:sz w:val="24"/>
          <w:szCs w:val="24"/>
        </w:rPr>
        <w:t>, 43 FERC ¶ 61,024 (1988).  The theory is that since the facilities were not previously dedicated to gas service, there is no double recovery from ratepayers.</w:t>
      </w:r>
    </w:p>
    <w:p>
      <w:pPr>
        <w:pStyle w:val="Normal"/>
        <w:widowControl/>
        <w:rPr>
          <w:sz w:val="24"/>
          <w:szCs w:val="24"/>
        </w:rPr>
      </w:pPr>
      <w:r>
        <w:rPr>
          <w:sz w:val="24"/>
          <w:szCs w:val="24"/>
        </w:rPr>
      </w:r>
    </w:p>
    <w:p>
      <w:pPr>
        <w:pStyle w:val="Normal"/>
        <w:widowControl/>
        <w:rPr>
          <w:sz w:val="24"/>
          <w:szCs w:val="24"/>
        </w:rPr>
      </w:pPr>
      <w:r>
        <w:rPr>
          <w:sz w:val="24"/>
          <w:szCs w:val="24"/>
        </w:rPr>
        <w:t>While the Cove Point facility has always been dedicated to gas service, there is a wrinkle in the regulatory history that could give Cove Point some justification to argue that a "write-up" will not cause double recovery in this case.</w:t>
      </w:r>
    </w:p>
    <w:p>
      <w:pPr>
        <w:pStyle w:val="Normal"/>
        <w:widowControl/>
        <w:rPr>
          <w:sz w:val="24"/>
          <w:szCs w:val="24"/>
        </w:rPr>
      </w:pPr>
      <w:r>
        <w:rPr>
          <w:sz w:val="24"/>
          <w:szCs w:val="24"/>
        </w:rPr>
      </w:r>
    </w:p>
    <w:p>
      <w:pPr>
        <w:pStyle w:val="Normal"/>
        <w:widowControl/>
        <w:rPr>
          <w:sz w:val="24"/>
          <w:szCs w:val="24"/>
        </w:rPr>
      </w:pPr>
      <w:r>
        <w:rPr>
          <w:sz w:val="24"/>
          <w:szCs w:val="24"/>
        </w:rPr>
        <w:t xml:space="preserve">As part of the 1994 certificate authorizing peaking service and approving the transfer of Columbia LNG's interest to Cove Point LNG, FERC required Cove Point LNG to adjust its rate base down to $50 million (resulting in a Columbia LNG write-down of $51 million).  Cove Point argued that this "write down" deviated from the long-standing FERC policy of using depreciated original cost.  FERC reasoned that inclusion of the acquisition credit adjustment is akin to the transfer of accumulated depreciation.  </w:t>
      </w:r>
    </w:p>
    <w:p>
      <w:pPr>
        <w:pStyle w:val="Normal"/>
        <w:widowControl/>
        <w:rPr>
          <w:sz w:val="24"/>
          <w:szCs w:val="24"/>
        </w:rPr>
      </w:pPr>
      <w:r>
        <w:rPr>
          <w:sz w:val="24"/>
          <w:szCs w:val="24"/>
        </w:rPr>
      </w:r>
    </w:p>
    <w:p>
      <w:pPr>
        <w:pStyle w:val="Normal"/>
        <w:widowControl/>
        <w:rPr>
          <w:sz w:val="24"/>
          <w:szCs w:val="24"/>
        </w:rPr>
      </w:pPr>
      <w:r>
        <w:rPr>
          <w:sz w:val="24"/>
          <w:szCs w:val="24"/>
        </w:rPr>
        <w:t xml:space="preserve">Thus, Cove Point LNG may argue that inclusion of the Pepco acquisition premium in rates will not result in double recovery from ratepayers, as it merely represents an opportunity to recoup a portion of the original investment that was previously disallowed. </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b/>
          <w:bCs/>
          <w:sz w:val="24"/>
          <w:szCs w:val="24"/>
          <w:u w:val="single"/>
        </w:rPr>
      </w:pPr>
      <w:r>
        <w:rPr>
          <w:b/>
          <w:bCs/>
          <w:sz w:val="24"/>
          <w:szCs w:val="24"/>
          <w:u w:val="single"/>
        </w:rPr>
        <w:t>Structure of Terminalling Service</w:t>
      </w:r>
    </w:p>
    <w:p>
      <w:pPr>
        <w:pStyle w:val="Normal"/>
        <w:widowControl/>
        <w:rPr>
          <w:b/>
          <w:bCs/>
          <w:sz w:val="24"/>
          <w:szCs w:val="24"/>
          <w:u w:val="single"/>
        </w:rPr>
      </w:pPr>
      <w:r>
        <w:rPr>
          <w:b/>
          <w:bCs/>
          <w:sz w:val="24"/>
          <w:szCs w:val="24"/>
          <w:u w:val="single"/>
        </w:rPr>
      </w:r>
    </w:p>
    <w:p>
      <w:pPr>
        <w:pStyle w:val="Normal"/>
        <w:widowControl/>
        <w:rPr>
          <w:sz w:val="24"/>
          <w:szCs w:val="24"/>
        </w:rPr>
      </w:pPr>
      <w:r>
        <w:rPr>
          <w:sz w:val="24"/>
          <w:szCs w:val="24"/>
        </w:rPr>
        <w:t>In your memo you note that Cove Point plans to link storage capacity and send-out, perhaps because they have not recognized the difference between the bundled peaking service (liquefaction-storage-vaporization services) and base-load terminalling service.  The crux of this linkage is that it encourages bids for 100% of the throughput.  You asked about the likelihood of encouraging FERC to "unbundle" the terminal storage and send-out components.</w:t>
      </w:r>
    </w:p>
    <w:p>
      <w:pPr>
        <w:pStyle w:val="Normal"/>
        <w:widowControl/>
        <w:rPr>
          <w:sz w:val="24"/>
          <w:szCs w:val="24"/>
        </w:rPr>
      </w:pPr>
      <w:r>
        <w:rPr>
          <w:sz w:val="24"/>
          <w:szCs w:val="24"/>
        </w:rPr>
      </w:r>
    </w:p>
    <w:p>
      <w:pPr>
        <w:pStyle w:val="Normal"/>
        <w:widowControl/>
        <w:rPr/>
      </w:pPr>
      <w:r>
        <w:rPr>
          <w:sz w:val="24"/>
          <w:szCs w:val="24"/>
        </w:rPr>
        <w:t xml:space="preserve">Generally speaking, FERC policy supports unbundled storage and send-out components of service.  FERC requires storage rates to be designed on the </w:t>
      </w:r>
      <w:r>
        <w:rPr>
          <w:i/>
          <w:iCs/>
          <w:sz w:val="24"/>
          <w:szCs w:val="24"/>
        </w:rPr>
        <w:t>Equitable</w:t>
      </w:r>
      <w:r>
        <w:rPr>
          <w:sz w:val="24"/>
          <w:szCs w:val="24"/>
        </w:rPr>
        <w:t xml:space="preserve"> methodology.  </w:t>
      </w:r>
      <w:r>
        <w:rPr>
          <w:i/>
          <w:iCs/>
          <w:sz w:val="24"/>
          <w:szCs w:val="24"/>
        </w:rPr>
        <w:t>Equitable Gas Co.</w:t>
      </w:r>
      <w:r>
        <w:rPr>
          <w:sz w:val="24"/>
          <w:szCs w:val="24"/>
        </w:rPr>
        <w:t xml:space="preserve">, 36 ¶ 61,147 (1986).  The </w:t>
      </w:r>
      <w:r>
        <w:rPr>
          <w:i/>
          <w:iCs/>
          <w:sz w:val="24"/>
          <w:szCs w:val="24"/>
        </w:rPr>
        <w:t>Equitable</w:t>
      </w:r>
      <w:r>
        <w:rPr>
          <w:sz w:val="24"/>
          <w:szCs w:val="24"/>
        </w:rPr>
        <w:t xml:space="preserve"> method assigns one-half the fixed costs to the capacity (storage inventory) component and one-half to the deliverability (maximum withdrawal, also called "reservation") component.  Customers have separately stated capacity and reservation quantities (e.g. 1 Bcf inventory rights; 17.3 MMcf/d withdrawal rights).  The tariff may prescribe a relationship between the inventory rights and the maximum withdrawal rights because of the need to cycle gas to protect aquifer or reservoir storage.  There would be no similar operational argument in the case of tank storage.</w:t>
      </w:r>
    </w:p>
    <w:p>
      <w:pPr>
        <w:pStyle w:val="Normal"/>
        <w:widowControl/>
        <w:rPr>
          <w:sz w:val="24"/>
          <w:szCs w:val="24"/>
        </w:rPr>
      </w:pPr>
      <w:r>
        <w:rPr>
          <w:sz w:val="24"/>
          <w:szCs w:val="24"/>
        </w:rPr>
      </w:r>
    </w:p>
    <w:p>
      <w:pPr>
        <w:pStyle w:val="Normal"/>
        <w:widowControl/>
        <w:rPr/>
      </w:pPr>
      <w:r>
        <w:rPr>
          <w:sz w:val="24"/>
          <w:szCs w:val="24"/>
        </w:rPr>
        <w:t xml:space="preserve">However, in the 1994 reactivation of the Cove Point facility for peaking service, the FERC did not require use of the </w:t>
      </w:r>
      <w:r>
        <w:rPr>
          <w:i/>
          <w:iCs/>
          <w:sz w:val="24"/>
          <w:szCs w:val="24"/>
        </w:rPr>
        <w:t>Equitable</w:t>
      </w:r>
      <w:r>
        <w:rPr>
          <w:sz w:val="24"/>
          <w:szCs w:val="24"/>
        </w:rPr>
        <w:t xml:space="preserve"> method.  FERC permitted the bundling of liquifaction and storage service.  Some have cited this as indication that the are sufficient differences between normal storage and LNG to permit a departure from the </w:t>
      </w:r>
      <w:r>
        <w:rPr>
          <w:i/>
          <w:iCs/>
          <w:sz w:val="24"/>
          <w:szCs w:val="24"/>
        </w:rPr>
        <w:t>Equitable</w:t>
      </w:r>
      <w:r>
        <w:rPr>
          <w:sz w:val="24"/>
          <w:szCs w:val="24"/>
        </w:rPr>
        <w:t xml:space="preserve"> method. </w:t>
      </w:r>
    </w:p>
    <w:p>
      <w:pPr>
        <w:pStyle w:val="Normal"/>
        <w:widowControl/>
        <w:rPr>
          <w:sz w:val="24"/>
          <w:szCs w:val="24"/>
        </w:rPr>
      </w:pPr>
      <w:r>
        <w:rPr>
          <w:sz w:val="24"/>
          <w:szCs w:val="24"/>
        </w:rPr>
      </w:r>
    </w:p>
    <w:p>
      <w:pPr>
        <w:pStyle w:val="Normal"/>
        <w:widowControl/>
        <w:rPr>
          <w:sz w:val="24"/>
          <w:szCs w:val="24"/>
        </w:rPr>
      </w:pPr>
      <w:r>
        <w:rPr>
          <w:sz w:val="24"/>
          <w:szCs w:val="24"/>
        </w:rPr>
        <w:t>Thus, the task at hand is to convince the Commission that while LNG peaking service may be sufficiently different from normal storage to merit a bundled rate and service structure, terminalling service is a base-load service and is akin to normal storage.  This necessitates showing that unlike LNG peaking service where there are no storage-only customers, parties may buy LNG directly from the storage facility much like other cycled gas storage services.</w:t>
      </w:r>
    </w:p>
    <w:p>
      <w:pPr>
        <w:pStyle w:val="Normal"/>
        <w:widowControl/>
        <w:rPr>
          <w:sz w:val="24"/>
          <w:szCs w:val="24"/>
        </w:rPr>
      </w:pPr>
      <w:r>
        <w:rPr>
          <w:sz w:val="24"/>
          <w:szCs w:val="24"/>
        </w:rPr>
      </w:r>
    </w:p>
    <w:p>
      <w:pPr>
        <w:pStyle w:val="Normal"/>
        <w:widowControl/>
        <w:rPr>
          <w:sz w:val="24"/>
          <w:szCs w:val="24"/>
        </w:rPr>
      </w:pPr>
      <w:r>
        <w:rPr>
          <w:sz w:val="24"/>
          <w:szCs w:val="24"/>
        </w:rPr>
      </w:r>
    </w:p>
    <w:sectPr>
      <w:type w:val="nextPage"/>
      <w:pgSz w:w="12240" w:h="15840"/>
      <w:pgMar w:left="1800" w:right="1800" w:gutter="0" w:header="0" w:top="99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2000-02-01T19:10:00Z</dcterms:created>
  <dc:creator>ET&amp;S LAN Support</dc:creator>
  <dc:description/>
  <dc:language>en-CA</dc:language>
  <cp:lastModifiedBy>scorman</cp:lastModifiedBy>
  <cp:lastPrinted>2000-02-01T16:14:00Z</cp:lastPrinted>
  <dcterms:modified xsi:type="dcterms:W3CDTF">2000-02-01T20:13:00Z</dcterms:modified>
  <cp:revision>9</cp:revision>
  <dc:subject/>
  <dc:title>DRAFT</dc:title>
</cp:coreProperties>
</file>