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4"/>
          <w:szCs w:val="24"/>
          <w:u w:val="single"/>
        </w:rPr>
      </w:pPr>
      <w:r>
        <w:rPr>
          <w:rFonts w:eastAsia="Arial" w:cs="Arial" w:ascii="Arial" w:hAnsi="Arial"/>
          <w:b/>
          <w:bCs/>
          <w:sz w:val="24"/>
          <w:szCs w:val="24"/>
          <w:u w:val="single"/>
        </w:rPr>
        <w:t>Stop CPUC Proposal to Shift $500 Million of DWR Power Costs to Northern and Central California Ratepayers from Southern California</w:t>
      </w:r>
    </w:p>
    <w:p>
      <w:pPr>
        <w:pStyle w:val="Normal"/>
        <w:jc w:val="center"/>
        <w:rPr>
          <w:rFonts w:ascii="Arial" w:hAnsi="Arial" w:eastAsia="Arial" w:cs="Arial"/>
          <w:b/>
          <w:bCs/>
          <w:sz w:val="22"/>
          <w:szCs w:val="22"/>
          <w:u w:val="single"/>
        </w:rPr>
      </w:pPr>
      <w:r>
        <w:rPr>
          <w:rFonts w:eastAsia="Arial" w:cs="Arial" w:ascii="Arial" w:hAnsi="Arial"/>
          <w:b/>
          <w:bCs/>
          <w:sz w:val="22"/>
          <w:szCs w:val="22"/>
          <w:u w:val="single"/>
        </w:rPr>
      </w:r>
    </w:p>
    <w:p>
      <w:pPr>
        <w:pStyle w:val="BodyText"/>
        <w:rPr>
          <w:rFonts w:ascii="Arial" w:hAnsi="Arial" w:eastAsia="Arial" w:cs="Arial"/>
          <w:sz w:val="22"/>
          <w:szCs w:val="22"/>
        </w:rPr>
      </w:pPr>
      <w:r>
        <w:rPr>
          <w:rFonts w:eastAsia="Arial" w:cs="Arial" w:ascii="Arial" w:hAnsi="Arial"/>
          <w:sz w:val="22"/>
          <w:szCs w:val="22"/>
        </w:rPr>
        <w:t>Pacific Gas and Electric Company urges all its customers to take immediate action to demand that the California Public Utilities Commission (CPUC) withdraw its proposal to shift over $500 million in unsubstantiated California Department of Water Resources (DWR) power costs to PG&amp;E’s customers from Southern California Edison’s customers.</w:t>
      </w:r>
    </w:p>
    <w:p>
      <w:pPr>
        <w:pStyle w:val="Normal"/>
        <w:rPr>
          <w:rFonts w:ascii="Arial" w:hAnsi="Arial" w:eastAsia="Arial" w:cs="Arial"/>
          <w:sz w:val="22"/>
          <w:szCs w:val="22"/>
          <w:u w:val="single"/>
        </w:rPr>
      </w:pPr>
      <w:r>
        <w:rPr>
          <w:rFonts w:eastAsia="Arial" w:cs="Arial" w:ascii="Arial" w:hAnsi="Arial"/>
          <w:sz w:val="22"/>
          <w:szCs w:val="22"/>
          <w:u w:val="single"/>
        </w:rPr>
      </w:r>
    </w:p>
    <w:p>
      <w:pPr>
        <w:pStyle w:val="Normal"/>
        <w:rPr/>
      </w:pPr>
      <w:r>
        <w:rPr>
          <w:rFonts w:eastAsia="Arial" w:cs="Arial" w:ascii="Arial" w:hAnsi="Arial"/>
          <w:sz w:val="22"/>
          <w:szCs w:val="22"/>
        </w:rPr>
        <w:t xml:space="preserve">The CPUC has just announced its proposal to allocate over $12 billion in DWR power costs in a way that would lock PG&amp;E’s customers into </w:t>
      </w:r>
      <w:r>
        <w:rPr>
          <w:rFonts w:eastAsia="Arial" w:cs="Arial" w:ascii="Arial" w:hAnsi="Arial"/>
          <w:sz w:val="22"/>
          <w:szCs w:val="22"/>
          <w:u w:val="single"/>
        </w:rPr>
        <w:t>40 - 55 percent higher rates for DWR power over the next 10 years</w:t>
      </w:r>
      <w:r>
        <w:rPr>
          <w:rFonts w:eastAsia="Arial" w:cs="Arial" w:ascii="Arial" w:hAnsi="Arial"/>
          <w:sz w:val="22"/>
          <w:szCs w:val="22"/>
        </w:rPr>
        <w:t xml:space="preserve">, compared to customers of Southern California Edison and San Diego Gas &amp; Electric.  </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This sudden, $500 million cost-shifting proposal was announced by the CPUC Monday in a press conference, even though the proposal has not been subject to any public review or hearings, and the Commission has so far declined to make the text available for public scrutiny.  </w:t>
      </w:r>
      <w:r>
        <w:rPr>
          <w:rFonts w:eastAsia="Arial" w:cs="Arial" w:ascii="Arial" w:hAnsi="Arial"/>
          <w:b/>
          <w:bCs/>
          <w:sz w:val="22"/>
          <w:szCs w:val="22"/>
        </w:rPr>
        <w:t>The CPUC is planning to vote on its $500 million cost-shifting proposal at its September 6, 2001 meeting, so immediate action is needed.</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rPr>
      </w:pPr>
      <w:r>
        <w:rPr>
          <w:rFonts w:eastAsia="Arial" w:cs="Arial" w:ascii="Arial" w:hAnsi="Arial"/>
        </w:rPr>
      </w:r>
    </w:p>
    <w:p>
      <w:pPr>
        <w:pStyle w:val="Heading3"/>
        <w:ind w:hanging="0" w:start="0"/>
        <w:rPr>
          <w:rFonts w:ascii="Arial" w:hAnsi="Arial" w:eastAsia="Arial" w:cs="Arial"/>
          <w:sz w:val="22"/>
          <w:szCs w:val="22"/>
        </w:rPr>
      </w:pPr>
      <w:r>
        <w:rPr>
          <w:rFonts w:eastAsia="Arial" w:cs="Arial" w:ascii="Arial" w:hAnsi="Arial"/>
          <w:sz w:val="22"/>
          <w:szCs w:val="22"/>
        </w:rPr>
        <w:t>Rate Redlining</w:t>
      </w:r>
    </w:p>
    <w:p>
      <w:pPr>
        <w:pStyle w:val="Normal"/>
        <w:rPr>
          <w:rFonts w:ascii="Arial" w:hAnsi="Arial" w:eastAsia="Arial" w:cs="Arial"/>
          <w:sz w:val="16"/>
          <w:szCs w:val="16"/>
        </w:rPr>
      </w:pPr>
      <w:r>
        <w:rPr>
          <w:rFonts w:eastAsia="Arial" w:cs="Arial" w:ascii="Arial" w:hAnsi="Arial"/>
          <w:sz w:val="16"/>
          <w:szCs w:val="16"/>
        </w:rPr>
      </w:r>
    </w:p>
    <w:p>
      <w:pPr>
        <w:pStyle w:val="Normal"/>
        <w:rPr/>
      </w:pPr>
      <w:r>
        <w:rPr>
          <w:rFonts w:eastAsia="Arial" w:cs="Arial" w:ascii="Arial" w:hAnsi="Arial"/>
          <w:sz w:val="22"/>
          <w:szCs w:val="22"/>
        </w:rPr>
        <w:t xml:space="preserve">If the public reports about the CPUC’s $500 million cost-shifting proposal are correct, it illegally and unfairly discriminates against PG&amp;E’s customers </w:t>
      </w:r>
      <w:r>
        <w:rPr>
          <w:rFonts w:eastAsia="Arial" w:cs="Arial" w:ascii="Arial" w:hAnsi="Arial"/>
          <w:sz w:val="22"/>
          <w:szCs w:val="22"/>
          <w:u w:val="single"/>
        </w:rPr>
        <w:t>without any basis in the record, or facts to support it</w:t>
      </w:r>
      <w:r>
        <w:rPr>
          <w:rFonts w:eastAsia="Arial" w:cs="Arial" w:ascii="Arial" w:hAnsi="Arial"/>
          <w:sz w:val="22"/>
          <w:szCs w:val="22"/>
        </w:rPr>
        <w:t>.  Since the CPUC won’t make the document available, it’s possible that the numbers are even worse.</w:t>
      </w:r>
    </w:p>
    <w:p>
      <w:pPr>
        <w:pStyle w:val="Normal"/>
        <w:rPr>
          <w:rFonts w:ascii="Arial" w:hAnsi="Arial" w:eastAsia="Arial" w:cs="Arial"/>
          <w:sz w:val="22"/>
          <w:szCs w:val="22"/>
        </w:rPr>
      </w:pPr>
      <w:r>
        <w:rPr>
          <w:rFonts w:eastAsia="Arial" w:cs="Arial" w:ascii="Arial" w:hAnsi="Arial"/>
          <w:sz w:val="22"/>
          <w:szCs w:val="22"/>
        </w:rPr>
      </w:r>
    </w:p>
    <w:p>
      <w:pPr>
        <w:pStyle w:val="BodyText3"/>
        <w:rPr>
          <w:rFonts w:ascii="Arial" w:hAnsi="Arial" w:eastAsia="Arial" w:cs="Arial"/>
          <w:sz w:val="22"/>
          <w:szCs w:val="22"/>
        </w:rPr>
      </w:pPr>
      <w:r>
        <w:rPr>
          <w:rFonts w:eastAsia="Arial" w:cs="Arial" w:ascii="Arial" w:hAnsi="Arial"/>
          <w:sz w:val="22"/>
          <w:szCs w:val="22"/>
        </w:rPr>
        <w:t>This is rate redlining – discriminating against Northern and Central California utility customers, simply because of where they live, without ever bothering to prove that higher costs are justified, necessary, or legitimate.</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Some have suggested that timing of the CPUC proposal and the Legislature’s consideration of SBxx 78, the Edison “MOU” bill, may not be coincidental, given that the intent of the CPUC proposal may be </w:t>
      </w:r>
      <w:r>
        <w:rPr>
          <w:rFonts w:eastAsia="Arial" w:cs="Arial" w:ascii="Arial" w:hAnsi="Arial"/>
          <w:sz w:val="22"/>
          <w:szCs w:val="22"/>
          <w:u w:val="single"/>
        </w:rPr>
        <w:t>to fund Edison’s debt repayment plan on the backs of PG&amp;E’s customers.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rPr>
      </w:pPr>
      <w:r>
        <w:rPr>
          <w:rFonts w:eastAsia="Arial" w:cs="Arial" w:ascii="Arial" w:hAnsi="Arial"/>
        </w:rPr>
      </w:r>
    </w:p>
    <w:p>
      <w:pPr>
        <w:pStyle w:val="Heading4"/>
        <w:ind w:hanging="0" w:start="0"/>
        <w:rPr/>
      </w:pPr>
      <w:r>
        <w:rPr/>
        <w:t>Negative Effect on Customers</w:t>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sz w:val="22"/>
          <w:szCs w:val="22"/>
        </w:rPr>
      </w:pPr>
      <w:r>
        <w:rPr>
          <w:rFonts w:eastAsia="Arial" w:cs="Arial" w:ascii="Arial" w:hAnsi="Arial"/>
          <w:sz w:val="22"/>
          <w:szCs w:val="22"/>
        </w:rPr>
        <w:t>If the CPUC goes forward with its proposed decision, it will have the following impact on Northern and Central California ratepayers and businesses:</w:t>
      </w:r>
    </w:p>
    <w:p>
      <w:pPr>
        <w:pStyle w:val="Normal"/>
        <w:rPr>
          <w:rFonts w:ascii="Arial" w:hAnsi="Arial" w:eastAsia="Arial" w:cs="Arial"/>
          <w:sz w:val="22"/>
          <w:szCs w:val="22"/>
        </w:rPr>
      </w:pPr>
      <w:r>
        <w:rPr>
          <w:rFonts w:eastAsia="Arial" w:cs="Arial" w:ascii="Arial" w:hAnsi="Arial"/>
          <w:sz w:val="22"/>
          <w:szCs w:val="22"/>
        </w:rPr>
      </w:r>
    </w:p>
    <w:p>
      <w:pPr>
        <w:pStyle w:val="Normal"/>
        <w:numPr>
          <w:ilvl w:val="0"/>
          <w:numId w:val="2"/>
        </w:numPr>
        <w:tabs>
          <w:tab w:val="clear" w:pos="720"/>
          <w:tab w:val="left" w:pos="0" w:leader="none"/>
          <w:tab w:val="left" w:pos="360" w:leader="none"/>
        </w:tabs>
        <w:spacing w:before="0" w:after="120"/>
        <w:ind w:hanging="720" w:start="1080" w:end="0"/>
        <w:rPr>
          <w:rFonts w:ascii="Arial" w:hAnsi="Arial" w:eastAsia="Arial" w:cs="Arial"/>
          <w:sz w:val="22"/>
          <w:szCs w:val="22"/>
        </w:rPr>
      </w:pPr>
      <w:r>
        <w:rPr>
          <w:rFonts w:eastAsia="Arial" w:cs="Arial" w:ascii="Arial" w:hAnsi="Arial"/>
          <w:sz w:val="22"/>
          <w:szCs w:val="22"/>
        </w:rPr>
        <w:t>Direct access will be further restricted for PG&amp;E customers, because any exit fee will be higher due to the much higher per-kWh DWR rate.</w:t>
      </w:r>
    </w:p>
    <w:p>
      <w:pPr>
        <w:pStyle w:val="Normal"/>
        <w:numPr>
          <w:ilvl w:val="0"/>
          <w:numId w:val="2"/>
        </w:numPr>
        <w:tabs>
          <w:tab w:val="clear" w:pos="720"/>
          <w:tab w:val="left" w:pos="0" w:leader="none"/>
          <w:tab w:val="left" w:pos="360" w:leader="none"/>
        </w:tabs>
        <w:spacing w:before="0" w:after="120"/>
        <w:ind w:hanging="720" w:start="1080" w:end="0"/>
        <w:rPr>
          <w:rFonts w:ascii="Arial" w:hAnsi="Arial" w:eastAsia="Arial" w:cs="Arial"/>
          <w:sz w:val="22"/>
          <w:szCs w:val="22"/>
        </w:rPr>
      </w:pPr>
      <w:r>
        <w:rPr>
          <w:rFonts w:eastAsia="Arial" w:cs="Arial" w:ascii="Arial" w:hAnsi="Arial"/>
          <w:sz w:val="22"/>
          <w:szCs w:val="22"/>
        </w:rPr>
        <w:t>The DWR rate to PG&amp;E’s customers will be approximately 14 cents per kWh.  SCE’s DWR rate will be reduced from 11.4 cents to 10 cents, while SDG&amp;E’s DWR rate would be 9 cents.</w:t>
      </w:r>
    </w:p>
    <w:p>
      <w:pPr>
        <w:pStyle w:val="Normal"/>
        <w:numPr>
          <w:ilvl w:val="0"/>
          <w:numId w:val="2"/>
        </w:numPr>
        <w:tabs>
          <w:tab w:val="clear" w:pos="720"/>
          <w:tab w:val="left" w:pos="0" w:leader="none"/>
          <w:tab w:val="left" w:pos="360" w:leader="none"/>
        </w:tabs>
        <w:spacing w:before="0" w:after="120"/>
        <w:ind w:hanging="360" w:start="1080" w:end="0"/>
        <w:rPr>
          <w:rFonts w:ascii="Arial" w:hAnsi="Arial" w:eastAsia="Arial" w:cs="Arial"/>
          <w:sz w:val="22"/>
          <w:szCs w:val="22"/>
        </w:rPr>
      </w:pPr>
      <w:r>
        <w:rPr>
          <w:rFonts w:eastAsia="Arial" w:cs="Arial" w:ascii="Arial" w:hAnsi="Arial"/>
          <w:sz w:val="22"/>
          <w:szCs w:val="22"/>
        </w:rPr>
        <w:t xml:space="preserve">PG&amp;E customers would pay 40% to 55% more to the DWR for power costs than Southern California customers. </w:t>
      </w:r>
      <w:r>
        <w:br w:type="page"/>
      </w:r>
    </w:p>
    <w:p>
      <w:pPr>
        <w:pStyle w:val="Heading3"/>
        <w:ind w:hanging="0" w:start="0"/>
        <w:rPr>
          <w:rFonts w:ascii="Arial" w:hAnsi="Arial" w:eastAsia="Arial" w:cs="Arial"/>
          <w:sz w:val="22"/>
          <w:szCs w:val="22"/>
        </w:rPr>
      </w:pPr>
      <w:r>
        <w:rPr>
          <w:rFonts w:eastAsia="Arial" w:cs="Arial" w:ascii="Arial" w:hAnsi="Arial"/>
          <w:sz w:val="22"/>
          <w:szCs w:val="22"/>
        </w:rPr>
        <w:t>No Justification for Rate Redlining</w:t>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sz w:val="22"/>
          <w:szCs w:val="22"/>
        </w:rPr>
      </w:pPr>
      <w:r>
        <w:rPr>
          <w:rFonts w:eastAsia="Arial" w:cs="Arial" w:ascii="Arial" w:hAnsi="Arial"/>
          <w:sz w:val="22"/>
          <w:szCs w:val="22"/>
        </w:rPr>
        <w:t>The CPUC’s $500 million cost-shifting proposal is not supported by past or current electricity markets.  In fact, the facts directly contradict the rationale put forward by the CPUC, namely, that DWR’s cost of electricity in Northern and Central California is higher than in Southern California:</w:t>
      </w:r>
    </w:p>
    <w:p>
      <w:pPr>
        <w:pStyle w:val="Normal"/>
        <w:rPr>
          <w:rFonts w:ascii="Arial" w:hAnsi="Arial" w:eastAsia="Arial" w:cs="Arial"/>
          <w:sz w:val="22"/>
          <w:szCs w:val="22"/>
        </w:rPr>
      </w:pPr>
      <w:r>
        <w:rPr>
          <w:rFonts w:eastAsia="Arial" w:cs="Arial" w:ascii="Arial" w:hAnsi="Arial"/>
          <w:sz w:val="22"/>
          <w:szCs w:val="22"/>
        </w:rPr>
      </w:r>
    </w:p>
    <w:p>
      <w:pPr>
        <w:pStyle w:val="Normal"/>
        <w:numPr>
          <w:ilvl w:val="0"/>
          <w:numId w:val="3"/>
        </w:numPr>
        <w:tabs>
          <w:tab w:val="clear" w:pos="720"/>
          <w:tab w:val="left" w:pos="0" w:leader="none"/>
        </w:tabs>
        <w:spacing w:before="0" w:after="120"/>
        <w:ind w:hanging="720" w:start="720" w:end="0"/>
        <w:rPr>
          <w:rFonts w:ascii="Arial" w:hAnsi="Arial" w:eastAsia="Arial" w:cs="Arial"/>
          <w:sz w:val="22"/>
          <w:szCs w:val="22"/>
        </w:rPr>
      </w:pPr>
      <w:r>
        <w:rPr>
          <w:rFonts w:eastAsia="Arial" w:cs="Arial" w:ascii="Arial" w:hAnsi="Arial"/>
          <w:sz w:val="22"/>
          <w:szCs w:val="22"/>
        </w:rPr>
        <w:t>For the three years prior to the current crisis, prices in Northern California were no more than 11 percent higher on average than comparable prices in Southern California.</w:t>
      </w:r>
    </w:p>
    <w:p>
      <w:pPr>
        <w:pStyle w:val="Normal"/>
        <w:numPr>
          <w:ilvl w:val="0"/>
          <w:numId w:val="3"/>
        </w:numPr>
        <w:tabs>
          <w:tab w:val="clear" w:pos="720"/>
          <w:tab w:val="left" w:pos="0" w:leader="none"/>
        </w:tabs>
        <w:spacing w:before="0" w:after="120"/>
        <w:ind w:hanging="720" w:start="720" w:end="0"/>
        <w:rPr/>
      </w:pPr>
      <w:r>
        <w:rPr>
          <w:rFonts w:eastAsia="Arial" w:cs="Arial" w:ascii="Arial" w:hAnsi="Arial"/>
          <w:sz w:val="22"/>
          <w:szCs w:val="22"/>
        </w:rPr>
        <w:t xml:space="preserve">Similarly, current price curves for longer-term electricity contracts do not support the 40 - 55% higher DWR rates proposed by the CPUC.  For example, 5-year power supply contract prices, starting 2002, quoted on August 27, 2001 by TFS Energy, an electricity broker, indicated that forward prices for power delivered in Northern California actually are slightly </w:t>
      </w:r>
      <w:r>
        <w:rPr>
          <w:rFonts w:eastAsia="Arial" w:cs="Arial" w:ascii="Arial" w:hAnsi="Arial"/>
          <w:sz w:val="22"/>
          <w:szCs w:val="22"/>
          <w:u w:val="single"/>
        </w:rPr>
        <w:t>lower</w:t>
      </w:r>
      <w:r>
        <w:rPr>
          <w:rFonts w:eastAsia="Arial" w:cs="Arial" w:ascii="Arial" w:hAnsi="Arial"/>
          <w:sz w:val="22"/>
          <w:szCs w:val="22"/>
        </w:rPr>
        <w:t>, not higher, than comparable prices for power delivered in Southern California.</w:t>
      </w:r>
    </w:p>
    <w:p>
      <w:pPr>
        <w:pStyle w:val="Normal"/>
        <w:numPr>
          <w:ilvl w:val="0"/>
          <w:numId w:val="3"/>
        </w:numPr>
        <w:tabs>
          <w:tab w:val="clear" w:pos="720"/>
          <w:tab w:val="left" w:pos="0" w:leader="none"/>
        </w:tabs>
        <w:spacing w:before="0" w:after="120"/>
        <w:ind w:hanging="360" w:start="720" w:end="0"/>
        <w:rPr>
          <w:rFonts w:ascii="Arial" w:hAnsi="Arial" w:eastAsia="Arial" w:cs="Arial"/>
          <w:sz w:val="22"/>
          <w:szCs w:val="22"/>
        </w:rPr>
      </w:pPr>
      <w:r>
        <w:rPr>
          <w:rFonts w:eastAsia="Arial" w:cs="Arial" w:ascii="Arial" w:hAnsi="Arial"/>
          <w:sz w:val="22"/>
          <w:szCs w:val="22"/>
        </w:rPr>
        <w:t>Several new, efficient power plants already have come on line in Northern California, providing additional resources regardless of any alleged transmission constraints between Southern and Northern California.  With much fanfare, two major plants have been opened in the past two months in Northern California – the Sutter Energy Center and the Los Medanos plant in the Bay Area – and will provide over 1,000 kW, enough electricity to power 1 million Northern California homes.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Heading2"/>
        <w:ind w:hanging="0" w:start="0"/>
        <w:rPr>
          <w:rFonts w:ascii="Arial" w:hAnsi="Arial" w:eastAsia="Arial" w:cs="Arial"/>
          <w:b/>
          <w:bCs/>
          <w:sz w:val="22"/>
          <w:szCs w:val="22"/>
        </w:rPr>
      </w:pPr>
      <w:r>
        <w:rPr>
          <w:rFonts w:eastAsia="Arial" w:cs="Arial" w:ascii="Arial" w:hAnsi="Arial"/>
          <w:b/>
          <w:bCs/>
          <w:sz w:val="22"/>
          <w:szCs w:val="22"/>
        </w:rPr>
        <w:t>No Public Review, No Due Process</w:t>
      </w:r>
    </w:p>
    <w:p>
      <w:pPr>
        <w:pStyle w:val="Normal"/>
        <w:rPr>
          <w:rFonts w:ascii="Arial" w:hAnsi="Arial" w:eastAsia="Arial" w:cs="Arial"/>
          <w:b/>
          <w:bCs/>
          <w:sz w:val="16"/>
          <w:szCs w:val="16"/>
        </w:rPr>
      </w:pPr>
      <w:r>
        <w:rPr>
          <w:rFonts w:eastAsia="Arial" w:cs="Arial" w:ascii="Arial" w:hAnsi="Arial"/>
          <w:b/>
          <w:bCs/>
          <w:sz w:val="16"/>
          <w:szCs w:val="16"/>
        </w:rPr>
      </w:r>
    </w:p>
    <w:p>
      <w:pPr>
        <w:pStyle w:val="Normal"/>
        <w:rPr>
          <w:rFonts w:ascii="Arial" w:hAnsi="Arial" w:eastAsia="Arial" w:cs="Arial"/>
          <w:sz w:val="22"/>
          <w:szCs w:val="22"/>
        </w:rPr>
      </w:pPr>
      <w:r>
        <w:rPr>
          <w:rFonts w:eastAsia="Arial" w:cs="Arial" w:ascii="Arial" w:hAnsi="Arial"/>
          <w:sz w:val="22"/>
          <w:szCs w:val="22"/>
        </w:rPr>
        <w:t xml:space="preserve">The CPUC proposal has not been subject to public review, due process, or hearings on the cost justification for shifting $500 million of DWR’s costs to PG&amp;E’s customers from the customers of the two southern California utilities.  </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This proposal by the CPUC is different than DWR’s own proposal, which was to allocate its power costs on an average cost basis statewide, so that DWR’s costs would be shared equally and fairly by all.  DWR has said that any proposal like the one the CPUC is putting forward would be arbitrary and artificial.</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Heading3"/>
        <w:ind w:hanging="0" w:start="0"/>
        <w:rPr>
          <w:rFonts w:ascii="Arial" w:hAnsi="Arial" w:eastAsia="Arial" w:cs="Arial"/>
          <w:sz w:val="22"/>
          <w:szCs w:val="22"/>
        </w:rPr>
      </w:pPr>
      <w:r>
        <w:rPr>
          <w:rFonts w:eastAsia="Arial" w:cs="Arial" w:ascii="Arial" w:hAnsi="Arial"/>
          <w:sz w:val="22"/>
          <w:szCs w:val="22"/>
        </w:rPr>
        <w:t>Violates Legislative Intent</w:t>
      </w:r>
    </w:p>
    <w:p>
      <w:pPr>
        <w:pStyle w:val="Normal"/>
        <w:rPr>
          <w:rFonts w:ascii="Arial" w:hAnsi="Arial" w:eastAsia="Arial" w:cs="Arial"/>
          <w:sz w:val="16"/>
          <w:szCs w:val="16"/>
        </w:rPr>
      </w:pPr>
      <w:r>
        <w:rPr>
          <w:rFonts w:eastAsia="Arial" w:cs="Arial" w:ascii="Arial" w:hAnsi="Arial"/>
          <w:sz w:val="16"/>
          <w:szCs w:val="16"/>
        </w:rPr>
      </w:r>
    </w:p>
    <w:p>
      <w:pPr>
        <w:pStyle w:val="Normal"/>
        <w:rPr/>
      </w:pPr>
      <w:r>
        <w:rPr>
          <w:rFonts w:eastAsia="Arial" w:cs="Arial" w:ascii="Arial" w:hAnsi="Arial"/>
          <w:sz w:val="22"/>
          <w:szCs w:val="22"/>
        </w:rPr>
        <w:t xml:space="preserve">The CPUC proposal also runs contrary to the intent of the Legislature when it enacted ABx 1, through which the Legislature clearly intended that DWR’s costs be allocated “pro rata” among customers of utilities statewide, in a manner which </w:t>
      </w:r>
      <w:r>
        <w:rPr>
          <w:rFonts w:eastAsia="Arial" w:cs="Arial" w:ascii="Arial" w:hAnsi="Arial"/>
          <w:sz w:val="22"/>
          <w:szCs w:val="22"/>
          <w:u w:val="single"/>
        </w:rPr>
        <w:t>would not result in higher DWR rate increases in one part of the State compared to other parts of the State.</w:t>
      </w:r>
      <w:r>
        <w:rPr>
          <w:rFonts w:eastAsia="Arial" w:cs="Arial" w:ascii="Arial" w:hAnsi="Arial"/>
          <w:sz w:val="22"/>
          <w:szCs w:val="22"/>
        </w:rPr>
        <w:t xml:space="preserve"> </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pPr>
      <w:r>
        <w:rPr>
          <w:rFonts w:eastAsia="Arial" w:cs="Arial" w:ascii="Arial" w:hAnsi="Arial"/>
          <w:sz w:val="22"/>
          <w:szCs w:val="22"/>
        </w:rPr>
        <w:t>In order to remedy this new form of “price gouging” of Northern and Central California ratepayers by DWR, PG&amp;E customers should immediately contact the CPUC and ask</w:t>
      </w:r>
      <w:r>
        <w:rPr>
          <w:rFonts w:eastAsia="Arial" w:cs="Arial" w:ascii="Arial" w:hAnsi="Arial"/>
          <w:sz w:val="22"/>
          <w:szCs w:val="22"/>
          <w:u w:val="single"/>
        </w:rPr>
        <w:t xml:space="preserve"> it to withdraw its $500 million cost shifting proposal from its September 6, 2001 meeting agenda and instead allocate DWR power costs based on average statewide costs.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outlineLvl w:val="1"/>
    </w:pPr>
    <w:rPr>
      <w:sz w:val="24"/>
      <w:szCs w:val="24"/>
      <w:u w:val="single"/>
    </w:rPr>
  </w:style>
  <w:style w:type="paragraph" w:styleId="Heading3">
    <w:name w:val="heading 3"/>
    <w:basedOn w:val="Normal"/>
    <w:next w:val="Normal"/>
    <w:qFormat/>
    <w:pPr>
      <w:keepNext w:val="true"/>
      <w:numPr>
        <w:ilvl w:val="2"/>
        <w:numId w:val="1"/>
      </w:numPr>
      <w:outlineLvl w:val="2"/>
    </w:pPr>
    <w:rPr>
      <w:b/>
      <w:bCs/>
      <w:sz w:val="24"/>
      <w:szCs w:val="24"/>
      <w:u w:val="single"/>
    </w:rPr>
  </w:style>
  <w:style w:type="paragraph" w:styleId="Heading4">
    <w:name w:val="heading 4"/>
    <w:basedOn w:val="Normal"/>
    <w:next w:val="Normal"/>
    <w:qFormat/>
    <w:pPr>
      <w:keepNext w:val="true"/>
      <w:numPr>
        <w:ilvl w:val="3"/>
        <w:numId w:val="1"/>
      </w:numPr>
      <w:outlineLvl w:val="3"/>
    </w:pPr>
    <w:rPr>
      <w:rFonts w:ascii="Arial" w:hAnsi="Arial" w:eastAsia="Arial" w:cs="Arial"/>
      <w:b/>
      <w:bCs/>
      <w:sz w:val="22"/>
      <w:szCs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sz w:val="24"/>
      <w:szCs w:val="24"/>
      <w:u w:val="single"/>
    </w:rPr>
  </w:style>
  <w:style w:type="paragraph" w:styleId="BodyText3">
    <w:name w:val="Body Text 3"/>
    <w:basedOn w:val="Normal"/>
    <w:qFormat/>
    <w:pPr/>
    <w:rPr>
      <w:b/>
      <w:b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2001-08-30T18:47:00Z</dcterms:created>
  <dc:creator>Chris Warner</dc:creator>
  <dc:description/>
  <dc:language>en-CA</dc:language>
  <cp:lastModifiedBy>Administrator</cp:lastModifiedBy>
  <cp:lastPrinted>2001-08-28T16:08:00Z</cp:lastPrinted>
  <dcterms:modified xsi:type="dcterms:W3CDTF">2001-08-30T18:47:00Z</dcterms:modified>
  <cp:revision>2</cp:revision>
  <dc:subject/>
  <dc:title>August 28, 2001</dc:title>
</cp:coreProperties>
</file>