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ind w:start="2160" w:end="0"/>
        <w:rPr>
          <w:rFonts w:ascii="Times New Roman" w:hAnsi="Times New Roman" w:eastAsia="Times New Roman" w:cs="Times New Roman"/>
        </w:rPr>
      </w:pPr>
      <w:r>
        <w:rPr>
          <w:rFonts w:eastAsia="Times New Roman" w:cs="Times New Roman" w:ascii="Times New Roman" w:hAnsi="Times New Roman"/>
        </w:rPr>
        <w:t xml:space="preserve">has occurred and is continuing with respect to a Party, its Minimum Transfer Amount will be zero. </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ind w:hanging="2160" w:start="2160" w:end="0"/>
        <w:rPr/>
      </w:pPr>
      <w:r>
        <w:rPr>
          <w:rFonts w:eastAsia="Times New Roman" w:cs="Times New Roman" w:ascii="Times New Roman" w:hAnsi="Times New Roman"/>
        </w:rPr>
        <w:tab/>
        <w:tab/>
        <w:t>(4)</w:t>
      </w:r>
      <w:r>
        <w:rPr>
          <w:rFonts w:eastAsia="Times New Roman" w:cs="Times New Roman" w:ascii="Times New Roman" w:hAnsi="Times New Roman"/>
          <w:b/>
          <w:bCs/>
          <w:i/>
          <w:iCs/>
        </w:rPr>
        <w:tab/>
        <w:t>"Rounding"</w:t>
      </w:r>
      <w:r>
        <w:rPr>
          <w:rFonts w:eastAsia="Times New Roman" w:cs="Times New Roman" w:ascii="Times New Roman" w:hAnsi="Times New Roman"/>
        </w:rPr>
        <w:t xml:space="preserve"> means the Delivery Amount, if a positive number, will be rounded up to the nearest integral multiple of USD $1,000, and the Return Amount, if a positive number, will be rounded down to the nearest integral multiple of USD $1,000 or to zero, if the Return Amount is less than USD $1,000.</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level0 \* alphabetic </w:instrText>
      </w:r>
      <w:r>
        <w:rPr>
          <w:rFonts w:eastAsia="Times New Roman" w:cs="Times New Roman" w:ascii="Times New Roman" w:hAnsi="Times New Roman"/>
        </w:rPr>
        <w:fldChar w:fldCharType="separate"/>
      </w:r>
      <w:r>
        <w:rPr>
          <w:rFonts w:eastAsia="Times New Roman" w:cs="Times New Roman" w:ascii="Times New Roman" w:hAnsi="Times New Roman"/>
        </w:rPr>
        <w:t>a</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rPr>
      </w:r>
      <w:r>
        <w:rPr>
          <w:rFonts w:eastAsia="Times New Roman" w:cs="Times New Roman" w:ascii="Times New Roman" w:hAnsi="Times New Roman"/>
          <w:b/>
          <w:bCs/>
          <w:i/>
          <w:iCs/>
        </w:rPr>
        <w:tab/>
        <w:t>Valuation and Timing</w:t>
      </w:r>
    </w:p>
    <w:p>
      <w:pPr>
        <w:pStyle w:val="Normal"/>
        <w:keepNext w:val="true"/>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suppressAutoHyphens w:val="true"/>
        <w:ind w:hanging="1440" w:start="1440" w:end="0"/>
        <w:rPr/>
      </w:pPr>
      <w:r>
        <w:rPr>
          <w:rFonts w:eastAsia="Times New Roman" w:cs="Times New Roman" w:ascii="Times New Roman" w:hAnsi="Times New Roman"/>
        </w:rPr>
        <w:tab/>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level1 \* roman </w:instrText>
      </w:r>
      <w:r>
        <w:rPr>
          <w:rFonts w:eastAsia="Times New Roman" w:cs="Times New Roman" w:ascii="Times New Roman" w:hAnsi="Times New Roman"/>
        </w:rPr>
        <w:fldChar w:fldCharType="separate"/>
      </w:r>
      <w:r>
        <w:rPr>
          <w:rFonts w:eastAsia="Times New Roman" w:cs="Times New Roman" w:ascii="Times New Roman" w:hAnsi="Times New Roman"/>
        </w:rPr>
        <w:t>i</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b/>
          <w:bCs/>
          <w:i/>
          <w:iCs/>
        </w:rPr>
        <w:tab/>
        <w:t>"Valuation Agent"</w:t>
      </w:r>
      <w:r>
        <w:rPr>
          <w:rFonts w:eastAsia="Times New Roman" w:cs="Times New Roman" w:ascii="Times New Roman" w:hAnsi="Times New Roman"/>
        </w:rPr>
        <w:t xml:space="preserve"> means for the purposes of Paragraph 3, the party making the demand under Paragraph 3; for purposes of Paragraph 4(d), the Secured Party for purposes of calculating the Value of the Substitute Credit Support and Posted Credit Support involved in the substitutions; for purposes of Paragraph 5, the Secured Party; and, for the purposes of Paragraph 6(d), the Secured Party receiving or deemed to receive the Interest Amount; </w:t>
      </w:r>
      <w:r>
        <w:rPr>
          <w:rFonts w:eastAsia="Times New Roman" w:cs="Times New Roman" w:ascii="Times New Roman" w:hAnsi="Times New Roman"/>
          <w:i/>
          <w:iCs/>
        </w:rPr>
        <w:t>provided, however</w:t>
      </w:r>
      <w:r>
        <w:rPr>
          <w:rFonts w:eastAsia="Times New Roman" w:cs="Times New Roman" w:ascii="Times New Roman" w:hAnsi="Times New Roman"/>
        </w:rPr>
        <w:t>, if an Event of Default or Potential Event of Default or Specified Condition has occurred and is continuing with respect to the party designated as the Valuation Agent, then for as long as the Event of Default or Potential Event of Default continues, the other party will be the Valuation Agent.</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ind w:hanging="1440" w:start="1440" w:end="0"/>
        <w:rPr/>
      </w:pPr>
      <w:r>
        <w:rPr>
          <w:rFonts w:eastAsia="Times New Roman" w:cs="Times New Roman" w:ascii="Times New Roman" w:hAnsi="Times New Roman"/>
        </w:rPr>
        <w:tab/>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level1 \* roman </w:instrText>
      </w:r>
      <w:r>
        <w:rPr>
          <w:rFonts w:eastAsia="Times New Roman" w:cs="Times New Roman" w:ascii="Times New Roman" w:hAnsi="Times New Roman"/>
        </w:rPr>
        <w:fldChar w:fldCharType="separate"/>
      </w:r>
      <w:r>
        <w:rPr>
          <w:rFonts w:eastAsia="Times New Roman" w:cs="Times New Roman" w:ascii="Times New Roman" w:hAnsi="Times New Roman"/>
        </w:rPr>
        <w:t>ii</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b/>
          <w:bCs/>
          <w:i/>
          <w:iCs/>
        </w:rPr>
        <w:tab/>
        <w:t>"Valuation Date"</w:t>
      </w:r>
      <w:r>
        <w:rPr>
          <w:rFonts w:eastAsia="Times New Roman" w:cs="Times New Roman" w:ascii="Times New Roman" w:hAnsi="Times New Roman"/>
        </w:rPr>
        <w:t xml:space="preserve"> means any Local Business Day of the month in the city of the Valuation Agent.</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ind w:hanging="1440" w:start="1440" w:end="0"/>
        <w:rPr/>
      </w:pPr>
      <w:r>
        <w:rPr>
          <w:rFonts w:eastAsia="Times New Roman" w:cs="Times New Roman" w:ascii="Times New Roman" w:hAnsi="Times New Roman"/>
        </w:rPr>
        <w:tab/>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level1 \* roman </w:instrText>
      </w:r>
      <w:r>
        <w:rPr>
          <w:rFonts w:eastAsia="Times New Roman" w:cs="Times New Roman" w:ascii="Times New Roman" w:hAnsi="Times New Roman"/>
        </w:rPr>
        <w:fldChar w:fldCharType="separate"/>
      </w:r>
      <w:r>
        <w:rPr>
          <w:rFonts w:eastAsia="Times New Roman" w:cs="Times New Roman" w:ascii="Times New Roman" w:hAnsi="Times New Roman"/>
        </w:rPr>
        <w:t>iii</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b/>
          <w:bCs/>
          <w:i/>
          <w:iCs/>
        </w:rPr>
        <w:tab/>
        <w:t>"Valuation Time"</w:t>
      </w:r>
      <w:r>
        <w:rPr>
          <w:rFonts w:eastAsia="Times New Roman" w:cs="Times New Roman" w:ascii="Times New Roman" w:hAnsi="Times New Roman"/>
        </w:rPr>
        <w:t xml:space="preserve"> means the close of business in the city of the Valuation Agent on the Local Business Day in that city immediately preceding the Valuation Date or date of calculation, as applicable; </w:t>
      </w:r>
      <w:r>
        <w:rPr>
          <w:rFonts w:eastAsia="Times New Roman" w:cs="Times New Roman" w:ascii="Times New Roman" w:hAnsi="Times New Roman"/>
          <w:i/>
          <w:iCs/>
          <w:u w:val="single"/>
        </w:rPr>
        <w:t>provided</w:t>
      </w:r>
      <w:r>
        <w:rPr>
          <w:rFonts w:eastAsia="Times New Roman" w:cs="Times New Roman" w:ascii="Times New Roman" w:hAnsi="Times New Roman"/>
        </w:rPr>
        <w:t xml:space="preserve">, </w:t>
      </w:r>
      <w:r>
        <w:rPr>
          <w:rFonts w:eastAsia="Times New Roman" w:cs="Times New Roman" w:ascii="Times New Roman" w:hAnsi="Times New Roman"/>
          <w:i/>
          <w:iCs/>
          <w:u w:val="single"/>
        </w:rPr>
        <w:t>however,</w:t>
      </w:r>
      <w:r>
        <w:rPr>
          <w:rFonts w:eastAsia="Times New Roman" w:cs="Times New Roman" w:ascii="Times New Roman" w:hAnsi="Times New Roman"/>
        </w:rPr>
        <w:t xml:space="preserve"> that the calculations of Value and Exposure will be made as of approximately the same time on the same date.</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suppressAutoHyphens w:val="true"/>
        <w:ind w:hanging="1440" w:start="1440" w:end="0"/>
        <w:rPr/>
      </w:pPr>
      <w:r>
        <w:rPr>
          <w:rFonts w:eastAsia="Times New Roman" w:cs="Times New Roman" w:ascii="Times New Roman" w:hAnsi="Times New Roman"/>
        </w:rPr>
        <w:tab/>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level1 \* roman </w:instrText>
      </w:r>
      <w:r>
        <w:rPr>
          <w:rFonts w:eastAsia="Times New Roman" w:cs="Times New Roman" w:ascii="Times New Roman" w:hAnsi="Times New Roman"/>
        </w:rPr>
        <w:fldChar w:fldCharType="separate"/>
      </w:r>
      <w:r>
        <w:rPr>
          <w:rFonts w:eastAsia="Times New Roman" w:cs="Times New Roman" w:ascii="Times New Roman" w:hAnsi="Times New Roman"/>
        </w:rPr>
        <w:t>iv</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b/>
          <w:bCs/>
          <w:i/>
          <w:iCs/>
        </w:rPr>
        <w:tab/>
        <w:t>"Notification Time"</w:t>
      </w:r>
      <w:r>
        <w:rPr>
          <w:rFonts w:eastAsia="Times New Roman" w:cs="Times New Roman" w:ascii="Times New Roman" w:hAnsi="Times New Roman"/>
        </w:rPr>
        <w:t xml:space="preserve"> means:</w:t>
      </w:r>
    </w:p>
    <w:p>
      <w:pPr>
        <w:pStyle w:val="Normal"/>
        <w:keepNext w:val="true"/>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suppressAutoHyphens w:val="true"/>
        <w:ind w:hanging="2160" w:start="2160" w:end="0"/>
        <w:rPr>
          <w:rFonts w:ascii="Times New Roman" w:hAnsi="Times New Roman" w:eastAsia="Times New Roman" w:cs="Times New Roman"/>
        </w:rPr>
      </w:pPr>
      <w:r>
        <w:rPr>
          <w:rFonts w:eastAsia="Times New Roman" w:cs="Times New Roman" w:ascii="Times New Roman" w:hAnsi="Times New Roman"/>
        </w:rPr>
        <w:tab/>
        <w:tab/>
        <w:t>(1)</w:t>
        <w:tab/>
        <w:t>With respect to the Valuation Agent's calculations, the Notification Time will be 2:00 p.m., New York time, on a Local Business Day.</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ind w:hanging="2160" w:start="2160" w:end="0"/>
        <w:rPr>
          <w:rFonts w:ascii="Times New Roman" w:hAnsi="Times New Roman" w:eastAsia="Times New Roman" w:cs="Times New Roman"/>
        </w:rPr>
      </w:pPr>
      <w:r>
        <w:rPr>
          <w:rFonts w:eastAsia="Times New Roman" w:cs="Times New Roman" w:ascii="Times New Roman" w:hAnsi="Times New Roman"/>
        </w:rPr>
        <w:tab/>
        <w:tab/>
        <w:t>(2)</w:t>
        <w:tab/>
        <w:t>With respect to the demands for the transfer of Eligible Credit Support or Equivalent Credit Support, the Notification Time will be 4:00 p.m., New York time, on a Local Business Day.</w:t>
      </w:r>
    </w:p>
    <w:p>
      <w:pPr>
        <w:pStyle w:val="Normal"/>
        <w:widowControl/>
        <w:suppressAutoHyphens w:val="true"/>
        <w:rPr>
          <w:rFonts w:ascii="Times New Roman" w:hAnsi="Times New Roman" w:eastAsia="Times New Roman" w:cs="Times New Roman"/>
        </w:rPr>
      </w:pPr>
      <w:r>
        <w:rPr>
          <w:rFonts w:eastAsia="Times New Roman" w:cs="Times New Roman" w:ascii="Times New Roman" w:hAnsi="Times New Roman"/>
        </w:rPr>
      </w:r>
    </w:p>
    <w:p>
      <w:pPr>
        <w:pStyle w:val="Normal"/>
        <w:widowControl/>
        <w:suppressAutoHyphens w:val="true"/>
        <w:ind w:hanging="720" w:start="720" w:end="0"/>
        <w:rPr/>
      </w:pPr>
      <w:r>
        <w:rPr>
          <w:rFonts w:eastAsia="Times New Roman" w:cs="Times New Roman" w:ascii="Times New Roman" w:hAnsi="Times New Roman"/>
        </w:rPr>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level0 \* alphabetic </w:instrText>
      </w:r>
      <w:r>
        <w:rPr>
          <w:rFonts w:eastAsia="Times New Roman" w:cs="Times New Roman" w:ascii="Times New Roman" w:hAnsi="Times New Roman"/>
        </w:rPr>
        <w:fldChar w:fldCharType="separate"/>
      </w:r>
      <w:r>
        <w:rPr>
          <w:rFonts w:eastAsia="Times New Roman" w:cs="Times New Roman" w:ascii="Times New Roman" w:hAnsi="Times New Roman"/>
        </w:rPr>
        <w:t>b</w:t>
      </w:r>
      <w:r>
        <w:rPr>
          <w:rFonts w:eastAsia="Times New Roman" w:cs="Times New Roman" w:ascii="Times New Roman" w:hAnsi="Times New Roman"/>
        </w:rPr>
        <w:fldChar w:fldCharType="end"/>
      </w:r>
      <w:r>
        <w:rPr>
          <w:rFonts w:eastAsia="Times New Roman" w:cs="Times New Roman" w:ascii="Times New Roman" w:hAnsi="Times New Roman"/>
        </w:rPr>
        <w:t>)</w:t>
      </w:r>
      <w:r>
        <w:rPr>
          <w:rFonts w:eastAsia="Times New Roman" w:cs="Times New Roman" w:ascii="Times New Roman" w:hAnsi="Times New Roman"/>
        </w:rPr>
      </w:r>
      <w:r>
        <w:rPr>
          <w:rFonts w:eastAsia="Times New Roman" w:cs="Times New Roman" w:ascii="Times New Roman" w:hAnsi="Times New Roman"/>
          <w:b/>
          <w:bCs/>
          <w:i/>
          <w:iCs/>
        </w:rPr>
        <w:tab/>
        <w:t>Conditions Precedent and Secured Party's Rights and Remedies</w:t>
      </w:r>
      <w:r>
        <w:rPr>
          <w:rFonts w:eastAsia="Times New Roman" w:cs="Times New Roman" w:ascii="Times New Roman" w:hAnsi="Times New Roman"/>
          <w:b/>
          <w:bCs/>
        </w:rPr>
        <w:t>.</w:t>
      </w:r>
      <w:r>
        <w:rPr>
          <w:rFonts w:eastAsia="Times New Roman" w:cs="Times New Roman" w:ascii="Times New Roman" w:hAnsi="Times New Roman"/>
        </w:rPr>
        <w:t xml:space="preserve">  </w:t>
      </w:r>
    </w:p>
    <w:p>
      <w:pPr>
        <w:pStyle w:val="Normal"/>
        <w:widowControl/>
        <w:suppressAutoHyphens w:val="true"/>
        <w:ind w:hanging="720" w:start="720" w:end="0"/>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suppressAutoHyphens w:val="true"/>
        <w:ind w:hanging="720" w:start="1440" w:end="0"/>
        <w:rPr>
          <w:rFonts w:ascii="Times New Roman" w:hAnsi="Times New Roman" w:eastAsia="Times New Roman" w:cs="Times New Roman"/>
        </w:rPr>
      </w:pPr>
      <w:r>
        <w:rPr>
          <w:rFonts w:eastAsia="Times New Roman" w:cs="Times New Roman" w:ascii="Times New Roman" w:hAnsi="Times New Roman"/>
        </w:rPr>
        <w:t>(i)</w:t>
        <w:tab/>
        <w:t>The following Termination Events will be a “Specified Condition” for the party specified (that party being the Affected Party if the Termination Event occurs with respect to the party):</w:t>
      </w:r>
    </w:p>
    <w:sectPr>
      <w:footerReference w:type="default" r:id="rId2"/>
      <w:type w:val="nextPage"/>
      <w:pgSz w:w="12240" w:h="15840"/>
      <w:pgMar w:left="1440" w:right="1440" w:gutter="0" w:header="0" w:top="1080" w:footer="720" w:bottom="16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eastAsia="Times New Roman" w:cs="Times New Roman"/>
      </w:rPr>
    </w:pPr>
    <w:r>
      <w:rPr>
        <w:rFonts w:eastAsia="Times New Roman" w:cs="Times New Roman" w:ascii="Times New Roman" w:hAnsi="Times New Roman"/>
      </w:rPr>
    </w:r>
  </w:p>
  <w:p>
    <w:pPr>
      <w:pStyle w:val="Footer"/>
      <w:jc w:val="center"/>
      <w:rPr/>
    </w:pPr>
    <w:r>
      <w:rPr>
        <w:rFonts w:eastAsia="Times New Roman" w:cs="Times New Roman" w:ascii="Times New Roman" w:hAnsi="Times New Roman"/>
      </w:rPr>
      <w:t xml:space="preserve">- </w:t>
    </w:r>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1</w:t>
    </w:r>
    <w:r>
      <w:rPr>
        <w:rStyle w:val="PageNumber"/>
        <w:rFonts w:eastAsia="Times New Roman" w:cs="Times New Roman" w:ascii="Times New Roman" w:hAnsi="Times New Roman"/>
      </w:rPr>
      <w:fldChar w:fldCharType="end"/>
    </w:r>
    <w:r>
      <w:rPr>
        <w:rStyle w:val="PageNumber"/>
        <w:rFonts w:eastAsia="Times New Roman" w:cs="Times New Roman" w:ascii="Times New Roman" w:hAnsi="Times New Roman"/>
      </w:rPr>
      <w:t xml:space="preserve"> -</w:t>
    </w:r>
  </w:p>
  <w:p>
    <w:pPr>
      <w:pStyle w:val="Footer"/>
      <w:rPr>
        <w:rStyle w:val="PageNumber"/>
        <w:rFonts w:ascii="Times New Roman" w:hAnsi="Times New Roman" w:eastAsia="Times New Roman" w:cs="Times New Roman"/>
      </w:rPr>
    </w:pPr>
    <w:r>
      <w:rPr/>
    </w:r>
  </w:p>
  <w:p>
    <w:pPr>
      <w:pStyle w:val="Footer"/>
      <w:spacing w:lineRule="atLeast" w:line="20"/>
      <w:rPr/>
    </w:pPr>
    <w:r>
      <w:rPr>
        <w:rFonts w:eastAsia="Times New Roman" w:cs="Times New Roman" w:ascii="Times New Roman" w:hAnsi="Times New Roman"/>
        <w:vanish/>
        <w:sz w:val="16"/>
        <w:szCs w:val="16"/>
      </w:rPr>
      <w:t>|</w:t>
    </w:r>
    <w:r>
      <w:rPr>
        <w:rFonts w:eastAsia="Times New Roman" w:cs="Times New Roman" w:ascii="Times New Roman" w:hAnsi="Times New Roman"/>
        <w:sz w:val="16"/>
        <w:szCs w:val="16"/>
      </w:rPr>
      <w:fldChar w:fldCharType="begin"/>
    </w:r>
    <w:r>
      <w:rPr>
        <w:sz w:val="16"/>
        <w:szCs w:val="16"/>
        <w:rFonts w:eastAsia="Times New Roman" w:cs="Times New Roman" w:ascii="Times New Roman" w:hAnsi="Times New Roman"/>
      </w:rPr>
      <w:instrText xml:space="preserve"> FILENAME \p </w:instrText>
    </w:r>
    <w:r>
      <w:rPr>
        <w:sz w:val="16"/>
        <w:szCs w:val="16"/>
        <w:rFonts w:eastAsia="Times New Roman" w:cs="Times New Roman" w:ascii="Times New Roman" w:hAnsi="Times New Roman"/>
      </w:rPr>
      <w:fldChar w:fldCharType="separate"/>
    </w:r>
    <w:r>
      <w:rPr>
        <w:sz w:val="16"/>
        <w:szCs w:val="16"/>
        <w:rFonts w:eastAsia="Times New Roman" w:cs="Times New Roman" w:ascii="Times New Roman" w:hAnsi="Times New Roman"/>
      </w:rPr>
      <w:t>/mnt/main-storage/datasets/enron-docs/doc/corrected_pageENRONAnnex.doc</w:t>
    </w:r>
    <w:r>
      <w:rPr>
        <w:sz w:val="16"/>
        <w:szCs w:val="16"/>
        <w:rFonts w:eastAsia="Times New Roman" w:cs="Times New Roman" w:ascii="Times New Roman" w:hAnsi="Times New Roman"/>
      </w:rPr>
      <w:fldChar w:fldCharType="end"/>
    </w:r>
    <w:r>
      <w:rPr>
        <w:rFonts w:eastAsia="Times New Roman" w:cs="Times New Roman" w:ascii="Times New Roman" w:hAnsi="Times New Roman"/>
        <w:vanish/>
        <w:sz w:val="16"/>
        <w:szCs w:val="16"/>
      </w:rPr>
      <w:t>|</w:t>
    </w:r>
    <w:r>
      <w:rPr>
        <w:rFonts w:eastAsia="Times New Roman" w:cs="Times New Roman" w:ascii="Times New Roman" w:hAnsi="Times New Roman"/>
        <w:sz w:val="16"/>
        <w:szCs w:val="16"/>
      </w:rPr>
      <w:tab/>
      <w:tab/>
    </w:r>
    <w:r>
      <w:rPr>
        <w:rFonts w:eastAsia="Times New Roman" w:cs="Times New Roman" w:ascii="Times New Roman" w:hAnsi="Times New Roman"/>
        <w:sz w:val="16"/>
        <w:szCs w:val="16"/>
      </w:rPr>
      <w:fldChar w:fldCharType="begin"/>
    </w:r>
    <w:r>
      <w:rPr>
        <w:sz w:val="16"/>
        <w:szCs w:val="16"/>
        <w:rFonts w:eastAsia="Times New Roman" w:cs="Times New Roman" w:ascii="Times New Roman" w:hAnsi="Times New Roman"/>
      </w:rPr>
      <w:instrText xml:space="preserve"> DATE \@"M\/d\/yy" </w:instrText>
    </w:r>
    <w:r>
      <w:rPr>
        <w:sz w:val="16"/>
        <w:szCs w:val="16"/>
        <w:rFonts w:eastAsia="Times New Roman" w:cs="Times New Roman" w:ascii="Times New Roman" w:hAnsi="Times New Roman"/>
      </w:rPr>
      <w:fldChar w:fldCharType="separate"/>
    </w:r>
    <w:r>
      <w:rPr>
        <w:sz w:val="16"/>
        <w:szCs w:val="16"/>
        <w:rFonts w:eastAsia="Times New Roman" w:cs="Times New Roman" w:ascii="Times New Roman" w:hAnsi="Times New Roman"/>
      </w:rPr>
      <w:t>9/28/25</w:t>
    </w:r>
    <w:r>
      <w:rPr>
        <w:sz w:val="16"/>
        <w:szCs w:val="16"/>
        <w:rFonts w:eastAsia="Times New Roman" w:cs="Times New Roman" w:ascii="Times New Roman" w:hAnsi="Times New Roman"/>
      </w:rPr>
      <w:fldChar w:fldCharType="end"/>
    </w:r>
    <w:r>
      <w:rPr>
        <w:rFonts w:eastAsia="Times New Roman" w:cs="Times New Roman" w:ascii="Times New Roman" w:hAnsi="Times New Roman"/>
        <w:sz w:val="16"/>
        <w:szCs w:val="16"/>
      </w:rPr>
      <w:t xml:space="preserve"> </w:t>
    </w:r>
    <w:r>
      <w:rPr>
        <w:rFonts w:eastAsia="Times New Roman" w:cs="Times New Roman" w:ascii="Times New Roman" w:hAnsi="Times New Roman"/>
        <w:sz w:val="16"/>
        <w:szCs w:val="16"/>
      </w:rPr>
      <w:fldChar w:fldCharType="begin"/>
    </w:r>
    <w:r>
      <w:rPr>
        <w:sz w:val="16"/>
        <w:szCs w:val="16"/>
        <w:rFonts w:eastAsia="Times New Roman" w:cs="Times New Roman" w:ascii="Times New Roman" w:hAnsi="Times New Roman"/>
      </w:rPr>
      <w:instrText xml:space="preserve"> TIME \@"H:mm" </w:instrText>
    </w:r>
    <w:r>
      <w:rPr>
        <w:sz w:val="16"/>
        <w:szCs w:val="16"/>
        <w:rFonts w:eastAsia="Times New Roman" w:cs="Times New Roman" w:ascii="Times New Roman" w:hAnsi="Times New Roman"/>
      </w:rPr>
      <w:fldChar w:fldCharType="separate"/>
    </w:r>
    <w:r>
      <w:rPr>
        <w:sz w:val="16"/>
        <w:szCs w:val="16"/>
        <w:rFonts w:eastAsia="Times New Roman" w:cs="Times New Roman" w:ascii="Times New Roman" w:hAnsi="Times New Roman"/>
      </w:rPr>
      <w:t>9:28</w:t>
    </w:r>
    <w:r>
      <w:rPr>
        <w:sz w:val="16"/>
        <w:szCs w:val="16"/>
        <w:rFonts w:eastAsia="Times New Roman" w:cs="Times New Roman" w:ascii="Times New Roman" w:hAnsi="Times New Roman"/>
      </w:rPr>
      <w:fldChar w:fldCharType="end"/>
    </w:r>
    <w:r>
      <w:rPr>
        <w:rFonts w:eastAsia="Times New Roman" w:cs="Times New Roman" w:ascii="Times New Roman" w:hAnsi="Times New Roman"/>
        <w:vanish/>
        <w:sz w:val="16"/>
        <w:szCs w:val="16"/>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upp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numPr>
        <w:ilvl w:val="0"/>
        <w:numId w:val="2"/>
      </w:numPr>
      <w:outlineLvl w:val="0"/>
    </w:pPr>
    <w:rPr/>
  </w:style>
  <w:style w:type="paragraph" w:styleId="Heading2">
    <w:name w:val="heading 2"/>
    <w:basedOn w:val="Normal"/>
    <w:next w:val="Normal"/>
    <w:qFormat/>
    <w:pPr>
      <w:numPr>
        <w:ilvl w:val="1"/>
        <w:numId w:val="3"/>
      </w:numPr>
      <w:outlineLvl w:val="1"/>
    </w:pPr>
    <w:rPr/>
  </w:style>
  <w:style w:type="paragraph" w:styleId="Heading3">
    <w:name w:val="heading 3"/>
    <w:basedOn w:val="Normal"/>
    <w:next w:val="Normal"/>
    <w:qFormat/>
    <w:pPr>
      <w:numPr>
        <w:ilvl w:val="2"/>
        <w:numId w:val="4"/>
      </w:numPr>
      <w:outlineLvl w:val="2"/>
    </w:pPr>
    <w:rPr/>
  </w:style>
  <w:style w:type="paragraph" w:styleId="Heading4">
    <w:name w:val="heading 4"/>
    <w:basedOn w:val="Normal"/>
    <w:next w:val="Normal"/>
    <w:qFormat/>
    <w:pPr>
      <w:numPr>
        <w:ilvl w:val="3"/>
        <w:numId w:val="5"/>
      </w:numPr>
      <w:outlineLvl w:val="3"/>
    </w:pPr>
    <w:rPr/>
  </w:style>
  <w:style w:type="paragraph" w:styleId="Heading5">
    <w:name w:val="heading 5"/>
    <w:basedOn w:val="Normal"/>
    <w:next w:val="Normal"/>
    <w:qFormat/>
    <w:pPr>
      <w:numPr>
        <w:ilvl w:val="4"/>
        <w:numId w:val="6"/>
      </w:numPr>
      <w:outlineLvl w:val="4"/>
    </w:pPr>
    <w:rPr/>
  </w:style>
  <w:style w:type="paragraph" w:styleId="Heading6">
    <w:name w:val="heading 6"/>
    <w:basedOn w:val="Normal"/>
    <w:next w:val="Normal"/>
    <w:qFormat/>
    <w:pPr>
      <w:numPr>
        <w:ilvl w:val="5"/>
        <w:numId w:val="7"/>
      </w:numPr>
      <w:outlineLvl w:val="5"/>
    </w:pPr>
    <w:rPr/>
  </w:style>
  <w:style w:type="paragraph" w:styleId="Heading7">
    <w:name w:val="heading 7"/>
    <w:basedOn w:val="Normal"/>
    <w:next w:val="Normal"/>
    <w:qFormat/>
    <w:pPr>
      <w:numPr>
        <w:ilvl w:val="6"/>
        <w:numId w:val="8"/>
      </w:numPr>
      <w:outlineLvl w:val="6"/>
    </w:pPr>
    <w:rPr/>
  </w:style>
  <w:style w:type="paragraph" w:styleId="Heading8">
    <w:name w:val="heading 8"/>
    <w:basedOn w:val="Normal"/>
    <w:next w:val="Normal"/>
    <w:qFormat/>
    <w:pPr>
      <w:numPr>
        <w:ilvl w:val="7"/>
        <w:numId w:val="9"/>
      </w:numPr>
      <w:outlineLvl w:val="7"/>
    </w:pPr>
    <w:rPr/>
  </w:style>
  <w:style w:type="character" w:styleId="DefaultParagraphFont">
    <w:name w:val="Default Paragraph Font"/>
    <w:qFormat/>
    <w:rPr/>
  </w:style>
  <w:style w:type="character" w:styleId="EndnoteCharacters">
    <w:name w:val="Endnote Characters"/>
    <w:basedOn w:val="DefaultParagraphFont"/>
    <w:qFormat/>
    <w:rPr>
      <w:sz w:val="20"/>
      <w:szCs w:val="20"/>
      <w:vertAlign w:val="superscript"/>
    </w:rPr>
  </w:style>
  <w:style w:type="character" w:styleId="FootnoteCharacters">
    <w:name w:val="Footnote Characters"/>
    <w:basedOn w:val="DefaultParagraphFont"/>
    <w:qFormat/>
    <w:rPr>
      <w:sz w:val="20"/>
      <w:szCs w:val="20"/>
      <w:vertAlign w:val="superscript"/>
    </w:rPr>
  </w:style>
  <w:style w:type="character" w:styleId="Document8">
    <w:name w:val="Document 8"/>
    <w:basedOn w:val="DefaultParagraphFont"/>
    <w:qFormat/>
    <w:rPr>
      <w:sz w:val="20"/>
      <w:szCs w:val="20"/>
    </w:rPr>
  </w:style>
  <w:style w:type="character" w:styleId="Document4">
    <w:name w:val="Document 4"/>
    <w:basedOn w:val="DefaultParagraphFont"/>
    <w:qFormat/>
    <w:rPr>
      <w:b/>
      <w:bCs/>
      <w:i/>
      <w:iCs/>
    </w:rPr>
  </w:style>
  <w:style w:type="character" w:styleId="Document6">
    <w:name w:val="Document 6"/>
    <w:basedOn w:val="DefaultParagraphFont"/>
    <w:qFormat/>
    <w:rPr>
      <w:sz w:val="20"/>
      <w:szCs w:val="20"/>
    </w:rPr>
  </w:style>
  <w:style w:type="character" w:styleId="Document5">
    <w:name w:val="Document 5"/>
    <w:basedOn w:val="DefaultParagraphFont"/>
    <w:qFormat/>
    <w:rPr>
      <w:sz w:val="20"/>
      <w:szCs w:val="20"/>
    </w:rPr>
  </w:style>
  <w:style w:type="character" w:styleId="Document2">
    <w:name w:val="Document 2"/>
    <w:basedOn w:val="DefaultParagraphFont"/>
    <w:qFormat/>
    <w:rPr>
      <w:rFonts w:ascii="Arial" w:hAnsi="Arial" w:eastAsia="Arial" w:cs="Arial"/>
    </w:rPr>
  </w:style>
  <w:style w:type="character" w:styleId="Document7">
    <w:name w:val="Document 7"/>
    <w:basedOn w:val="DefaultParagraphFont"/>
    <w:qFormat/>
    <w:rPr>
      <w:sz w:val="20"/>
      <w:szCs w:val="20"/>
    </w:rPr>
  </w:style>
  <w:style w:type="character" w:styleId="Bibliogrphy">
    <w:name w:val="Bibliogrphy"/>
    <w:basedOn w:val="DefaultParagraphFont"/>
    <w:qFormat/>
    <w:rPr>
      <w:sz w:val="20"/>
      <w:szCs w:val="20"/>
    </w:rPr>
  </w:style>
  <w:style w:type="character" w:styleId="RightPar1">
    <w:name w:val="Right Par 1"/>
    <w:basedOn w:val="DefaultParagraphFont"/>
    <w:qFormat/>
    <w:rPr>
      <w:sz w:val="20"/>
      <w:szCs w:val="20"/>
    </w:rPr>
  </w:style>
  <w:style w:type="character" w:styleId="RightPar2">
    <w:name w:val="Right Par 2"/>
    <w:basedOn w:val="DefaultParagraphFont"/>
    <w:qFormat/>
    <w:rPr>
      <w:sz w:val="20"/>
      <w:szCs w:val="20"/>
    </w:rPr>
  </w:style>
  <w:style w:type="character" w:styleId="Document3">
    <w:name w:val="Document 3"/>
    <w:basedOn w:val="DefaultParagraphFont"/>
    <w:qFormat/>
    <w:rPr>
      <w:rFonts w:ascii="Arial" w:hAnsi="Arial" w:eastAsia="Arial" w:cs="Arial"/>
    </w:rPr>
  </w:style>
  <w:style w:type="character" w:styleId="RightPar3">
    <w:name w:val="Right Par 3"/>
    <w:basedOn w:val="DefaultParagraphFont"/>
    <w:qFormat/>
    <w:rPr>
      <w:sz w:val="20"/>
      <w:szCs w:val="20"/>
    </w:rPr>
  </w:style>
  <w:style w:type="character" w:styleId="RightPar4">
    <w:name w:val="Right Par 4"/>
    <w:basedOn w:val="DefaultParagraphFont"/>
    <w:qFormat/>
    <w:rPr>
      <w:sz w:val="20"/>
      <w:szCs w:val="20"/>
    </w:rPr>
  </w:style>
  <w:style w:type="character" w:styleId="RightPar5">
    <w:name w:val="Right Par 5"/>
    <w:basedOn w:val="DefaultParagraphFont"/>
    <w:qFormat/>
    <w:rPr>
      <w:sz w:val="20"/>
      <w:szCs w:val="20"/>
    </w:rPr>
  </w:style>
  <w:style w:type="character" w:styleId="RightPar6">
    <w:name w:val="Right Par 6"/>
    <w:basedOn w:val="DefaultParagraphFont"/>
    <w:qFormat/>
    <w:rPr>
      <w:sz w:val="20"/>
      <w:szCs w:val="20"/>
    </w:rPr>
  </w:style>
  <w:style w:type="character" w:styleId="RightPar7">
    <w:name w:val="Right Par 7"/>
    <w:basedOn w:val="DefaultParagraphFont"/>
    <w:qFormat/>
    <w:rPr>
      <w:sz w:val="20"/>
      <w:szCs w:val="20"/>
    </w:rPr>
  </w:style>
  <w:style w:type="character" w:styleId="RightPar8">
    <w:name w:val="Right Par 8"/>
    <w:basedOn w:val="DefaultParagraphFont"/>
    <w:qFormat/>
    <w:rPr>
      <w:sz w:val="20"/>
      <w:szCs w:val="20"/>
    </w:rPr>
  </w:style>
  <w:style w:type="character" w:styleId="DocInit">
    <w:name w:val="Doc Init"/>
    <w:basedOn w:val="DefaultParagraphFont"/>
    <w:qFormat/>
    <w:rPr>
      <w:sz w:val="20"/>
      <w:szCs w:val="20"/>
    </w:rPr>
  </w:style>
  <w:style w:type="character" w:styleId="TechInit">
    <w:name w:val="Tech Init"/>
    <w:basedOn w:val="DefaultParagraphFont"/>
    <w:qFormat/>
    <w:rPr>
      <w:rFonts w:ascii="Arial" w:hAnsi="Arial" w:eastAsia="Arial" w:cs="Arial"/>
    </w:rPr>
  </w:style>
  <w:style w:type="character" w:styleId="Technical5">
    <w:name w:val="Technical 5"/>
    <w:basedOn w:val="DefaultParagraphFont"/>
    <w:qFormat/>
    <w:rPr>
      <w:sz w:val="20"/>
      <w:szCs w:val="20"/>
    </w:rPr>
  </w:style>
  <w:style w:type="character" w:styleId="Technical6">
    <w:name w:val="Technical 6"/>
    <w:basedOn w:val="DefaultParagraphFont"/>
    <w:qFormat/>
    <w:rPr>
      <w:sz w:val="20"/>
      <w:szCs w:val="20"/>
    </w:rPr>
  </w:style>
  <w:style w:type="character" w:styleId="Technical2">
    <w:name w:val="Technical 2"/>
    <w:basedOn w:val="DefaultParagraphFont"/>
    <w:qFormat/>
    <w:rPr>
      <w:rFonts w:ascii="Arial" w:hAnsi="Arial" w:eastAsia="Arial" w:cs="Arial"/>
    </w:rPr>
  </w:style>
  <w:style w:type="character" w:styleId="Technical3">
    <w:name w:val="Technical 3"/>
    <w:basedOn w:val="DefaultParagraphFont"/>
    <w:qFormat/>
    <w:rPr>
      <w:rFonts w:ascii="Arial" w:hAnsi="Arial" w:eastAsia="Arial" w:cs="Arial"/>
    </w:rPr>
  </w:style>
  <w:style w:type="character" w:styleId="Technical4">
    <w:name w:val="Technical 4"/>
    <w:basedOn w:val="DefaultParagraphFont"/>
    <w:qFormat/>
    <w:rPr>
      <w:sz w:val="20"/>
      <w:szCs w:val="20"/>
    </w:rPr>
  </w:style>
  <w:style w:type="character" w:styleId="Technical1">
    <w:name w:val="Technical 1"/>
    <w:basedOn w:val="DefaultParagraphFont"/>
    <w:qFormat/>
    <w:rPr>
      <w:rFonts w:ascii="Arial" w:hAnsi="Arial" w:eastAsia="Arial" w:cs="Arial"/>
    </w:rPr>
  </w:style>
  <w:style w:type="character" w:styleId="Technical7">
    <w:name w:val="Technical 7"/>
    <w:basedOn w:val="DefaultParagraphFont"/>
    <w:qFormat/>
    <w:rPr>
      <w:sz w:val="20"/>
      <w:szCs w:val="20"/>
    </w:rPr>
  </w:style>
  <w:style w:type="character" w:styleId="Technical8">
    <w:name w:val="Technical 8"/>
    <w:basedOn w:val="DefaultParagraphFont"/>
    <w:qFormat/>
    <w:rPr>
      <w:sz w:val="20"/>
      <w:szCs w:val="20"/>
    </w:rPr>
  </w:style>
  <w:style w:type="character" w:styleId="EquationCaption">
    <w:name w:val="_Equation Caption"/>
    <w:qFormat/>
    <w:rPr>
      <w:sz w:val="20"/>
      <w:szCs w:val="20"/>
    </w:rPr>
  </w:style>
  <w:style w:type="character" w:styleId="zzmpTrailerItem">
    <w:name w:val="zzmpTrailerItem"/>
    <w:basedOn w:val="DefaultParagraphFont"/>
    <w:qFormat/>
    <w:rPr>
      <w:rFonts w:ascii="Arial" w:hAnsi="Arial" w:eastAsia="Arial" w:cs="Arial"/>
      <w:sz w:val="13"/>
      <w:szCs w:val="13"/>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Arial" w:hAnsi="Arial" w:eastAsia="Arial" w:cs="Arial"/>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2000-05-22T20:36:00Z</dcterms:created>
  <dc:creator>.</dc:creator>
  <dc:description/>
  <dc:language>en-CA</dc:language>
  <cp:lastModifiedBy>.</cp:lastModifiedBy>
  <cp:lastPrinted>2000-05-17T16:05:00Z</cp:lastPrinted>
  <dcterms:modified xsi:type="dcterms:W3CDTF">2000-05-22T20:38:00Z</dcterms:modified>
  <cp:revision>5</cp:revision>
  <dc:subject/>
  <dc:title>	PACIFIC GAS &amp; ELECTRIC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4">
    <vt:lpwstr>0000-111-10-1</vt:lpwstr>
  </property>
</Properties>
</file>