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tabs>
          <w:tab w:val="left" w:pos="-1440" w:leader="none"/>
          <w:tab w:val="left" w:pos="-720" w:leader="none"/>
          <w:tab w:val="left" w:pos="720" w:leader="none"/>
        </w:tabs>
        <w:suppressAutoHyphens w:val="true"/>
        <w:ind w:hanging="1440" w:start="1440" w:end="0"/>
        <w:rPr/>
      </w:pPr>
      <w:r>
        <w:rPr/>
        <w:tab/>
        <w:t>(1)</w:t>
        <w:tab/>
        <w:t>Section 5(a)(vi) is amended by deleting in the seventh line thereof ", or becoming capable at such time of being declared,".</w:t>
      </w:r>
    </w:p>
    <w:p>
      <w:pPr>
        <w:pStyle w:val="Normal"/>
        <w:widowControl/>
        <w:tabs>
          <w:tab w:val="left" w:pos="-1440" w:leader="none"/>
          <w:tab w:val="left" w:pos="-720" w:leader="none"/>
          <w:tab w:val="left" w:pos="0" w:leader="none"/>
          <w:tab w:val="left" w:pos="720" w:leader="none"/>
        </w:tabs>
        <w:suppressAutoHyphens w:val="true"/>
        <w:spacing w:before="240" w:after="0"/>
        <w:ind w:hanging="1440" w:start="1440" w:end="0"/>
        <w:rPr/>
      </w:pPr>
      <w:r>
        <w:rPr>
          <w:b/>
          <w:bCs/>
        </w:rPr>
        <w:tab/>
      </w:r>
      <w:r>
        <w:rPr/>
        <w:t>(2)</w:t>
      </w:r>
      <w:r>
        <w:rPr>
          <w:b/>
          <w:bCs/>
        </w:rPr>
        <w:tab/>
        <w:t>"Specified Indebtedness"</w:t>
      </w:r>
      <w:r>
        <w:rPr/>
        <w:t xml:space="preserve"> shall have the meaning specified in Section 14 of this Agreement.</w:t>
      </w:r>
    </w:p>
    <w:p>
      <w:pPr>
        <w:pStyle w:val="Normal"/>
        <w:widowControl/>
        <w:tabs>
          <w:tab w:val="clear" w:pos="720"/>
          <w:tab w:val="left" w:pos="-1440" w:leader="none"/>
          <w:tab w:val="left" w:pos="-720" w:leader="none"/>
        </w:tabs>
        <w:suppressAutoHyphens w:val="true"/>
        <w:rPr/>
      </w:pPr>
      <w:r>
        <w:rPr/>
      </w:r>
    </w:p>
    <w:p>
      <w:pPr>
        <w:pStyle w:val="Normal"/>
        <w:widowControl/>
        <w:tabs>
          <w:tab w:val="left" w:pos="-1440" w:leader="none"/>
          <w:tab w:val="left" w:pos="-720" w:leader="none"/>
          <w:tab w:val="left" w:pos="0" w:leader="none"/>
          <w:tab w:val="left" w:pos="720" w:leader="none"/>
        </w:tabs>
        <w:suppressAutoHyphens w:val="true"/>
        <w:ind w:hanging="1440" w:start="1440" w:end="0"/>
        <w:rPr/>
      </w:pPr>
      <w:r>
        <w:rPr/>
        <w:tab/>
        <w:t>(3)</w:t>
      </w:r>
      <w:r>
        <w:rPr>
          <w:b/>
          <w:bCs/>
        </w:rPr>
        <w:tab/>
        <w:t>"Threshold Amount"</w:t>
      </w:r>
      <w:r>
        <w:rPr/>
        <w:t xml:space="preserve"> means</w:t>
      </w:r>
    </w:p>
    <w:p>
      <w:pPr>
        <w:pStyle w:val="Normal"/>
        <w:widowControl/>
        <w:tabs>
          <w:tab w:val="clear" w:pos="720"/>
          <w:tab w:val="left" w:pos="-1440" w:leader="none"/>
          <w:tab w:val="left" w:pos="-720" w:leader="none"/>
        </w:tabs>
        <w:suppressAutoHyphens w:val="true"/>
        <w:rPr/>
      </w:pPr>
      <w:r>
        <w:rPr/>
      </w:r>
    </w:p>
    <w:p>
      <w:pPr>
        <w:pStyle w:val="Normal"/>
        <w:widowControl/>
        <w:tabs>
          <w:tab w:val="left" w:pos="-1440" w:leader="none"/>
          <w:tab w:val="left" w:pos="-720" w:leader="none"/>
          <w:tab w:val="left" w:pos="0" w:leader="none"/>
          <w:tab w:val="left" w:pos="720" w:leader="none"/>
          <w:tab w:val="left" w:pos="1440" w:leader="none"/>
        </w:tabs>
        <w:suppressAutoHyphens w:val="true"/>
        <w:ind w:hanging="2160" w:start="2160" w:end="0"/>
        <w:rPr/>
      </w:pPr>
      <w:r>
        <w:rPr/>
        <w:tab/>
        <w:tab/>
        <w:t>(</w:t>
      </w:r>
      <w:r>
        <w:rPr/>
        <w:fldChar w:fldCharType="begin"/>
      </w:r>
      <w:r>
        <w:rPr/>
        <w:instrText xml:space="preserve"> SEQ level2 \* roman </w:instrText>
      </w:r>
      <w:r>
        <w:rPr/>
        <w:fldChar w:fldCharType="separate"/>
      </w:r>
      <w:r>
        <w:rPr/>
        <w:t>i</w:t>
      </w:r>
      <w:r>
        <w:rPr/>
        <w:fldChar w:fldCharType="end"/>
      </w:r>
      <w:r>
        <w:rPr/>
        <w:t>)</w:t>
        <w:tab/>
        <w:t>$100,000,000 (or its equivalent in any other currencies) in relation to Party A, Party A's Credit Support Provider, and any Specified Entity of Party A; and</w:t>
      </w:r>
    </w:p>
    <w:p>
      <w:pPr>
        <w:pStyle w:val="Normal"/>
        <w:widowControl/>
        <w:tabs>
          <w:tab w:val="clear" w:pos="720"/>
          <w:tab w:val="left" w:pos="-1440" w:leader="none"/>
          <w:tab w:val="left" w:pos="-720" w:leader="none"/>
        </w:tabs>
        <w:suppressAutoHyphens w:val="true"/>
        <w:rPr/>
      </w:pPr>
      <w:r>
        <w:rPr/>
        <w:tab/>
      </w:r>
    </w:p>
    <w:p>
      <w:pPr>
        <w:pStyle w:val="Normal"/>
        <w:widowControl/>
        <w:tabs>
          <w:tab w:val="left" w:pos="-1440" w:leader="none"/>
          <w:tab w:val="left" w:pos="-720" w:leader="none"/>
          <w:tab w:val="left" w:pos="0" w:leader="none"/>
          <w:tab w:val="left" w:pos="720" w:leader="none"/>
          <w:tab w:val="left" w:pos="1440" w:leader="none"/>
        </w:tabs>
        <w:suppressAutoHyphens w:val="true"/>
        <w:ind w:hanging="2160" w:start="2160" w:end="0"/>
        <w:rPr/>
      </w:pPr>
      <w:r>
        <w:rPr/>
        <w:tab/>
        <w:tab/>
        <w:t>(</w:t>
      </w:r>
      <w:r>
        <w:rPr/>
        <w:fldChar w:fldCharType="begin"/>
      </w:r>
      <w:r>
        <w:rPr/>
        <w:instrText xml:space="preserve"> SEQ level2 \* roman </w:instrText>
      </w:r>
      <w:r>
        <w:rPr/>
        <w:fldChar w:fldCharType="separate"/>
      </w:r>
      <w:r>
        <w:rPr/>
        <w:t>ii</w:t>
      </w:r>
      <w:r>
        <w:rPr/>
        <w:fldChar w:fldCharType="end"/>
      </w:r>
      <w:r>
        <w:rPr/>
        <w:t>)</w:t>
        <w:tab/>
        <w:t xml:space="preserve">$100,000,000 (or its equivalent in any other currencies) in relation to Party B. </w:t>
      </w:r>
    </w:p>
    <w:p>
      <w:pPr>
        <w:pStyle w:val="Normal"/>
        <w:widowControl/>
        <w:tabs>
          <w:tab w:val="clear" w:pos="720"/>
          <w:tab w:val="left" w:pos="-1440" w:leader="none"/>
          <w:tab w:val="left" w:pos="-720" w:leader="none"/>
          <w:tab w:val="left" w:pos="0" w:leader="none"/>
        </w:tabs>
        <w:suppressAutoHyphens w:val="true"/>
        <w:rPr/>
      </w:pPr>
      <w:r>
        <w:rPr/>
      </w:r>
    </w:p>
    <w:p>
      <w:pPr>
        <w:pStyle w:val="Normal"/>
        <w:widowControl/>
        <w:tabs>
          <w:tab w:val="clear" w:pos="720"/>
          <w:tab w:val="left" w:pos="-1440" w:leader="none"/>
          <w:tab w:val="left" w:pos="-720" w:leader="none"/>
          <w:tab w:val="left" w:pos="0" w:leader="none"/>
        </w:tabs>
        <w:suppressAutoHyphens w:val="true"/>
        <w:ind w:hanging="720" w:start="720" w:end="0"/>
        <w:rPr/>
      </w:pPr>
      <w:r>
        <w:rPr/>
        <w:t>(d)</w:t>
        <w:tab/>
        <w:t xml:space="preserve">The </w:t>
      </w:r>
      <w:r>
        <w:rPr>
          <w:b/>
          <w:bCs/>
        </w:rPr>
        <w:t>"Credit Event Upon Merger"</w:t>
      </w:r>
      <w:r>
        <w:rPr/>
        <w:t xml:space="preserve"> provisions of Section 5(b)(iv), as amended herein, will apply to Party A and Party B.</w:t>
      </w:r>
    </w:p>
    <w:p>
      <w:pPr>
        <w:pStyle w:val="Normal"/>
        <w:widowControl/>
        <w:tabs>
          <w:tab w:val="clear" w:pos="720"/>
          <w:tab w:val="left" w:pos="-1440" w:leader="none"/>
          <w:tab w:val="left" w:pos="-720" w:leader="none"/>
        </w:tabs>
        <w:suppressAutoHyphens w:val="true"/>
        <w:rPr/>
      </w:pPr>
      <w:r>
        <w:rPr/>
      </w:r>
    </w:p>
    <w:p>
      <w:pPr>
        <w:pStyle w:val="Normal"/>
        <w:widowControl/>
        <w:tabs>
          <w:tab w:val="clear" w:pos="720"/>
          <w:tab w:val="left" w:pos="-1440" w:leader="none"/>
          <w:tab w:val="left" w:pos="-720" w:leader="none"/>
          <w:tab w:val="left" w:pos="0" w:leader="none"/>
        </w:tabs>
        <w:suppressAutoHyphens w:val="true"/>
        <w:ind w:hanging="720" w:start="720" w:end="0"/>
        <w:rPr/>
      </w:pPr>
      <w:r>
        <w:rPr/>
        <w:tab/>
        <w:t>Section 5(b)(iv) is deleted in its entirety and replaced with the following (italicized text reflects modifications from the ISDA Master Agreement):</w:t>
      </w:r>
    </w:p>
    <w:p>
      <w:pPr>
        <w:pStyle w:val="Normal"/>
        <w:widowControl/>
        <w:tabs>
          <w:tab w:val="left" w:pos="-1440" w:leader="none"/>
          <w:tab w:val="left" w:pos="-720" w:leader="none"/>
          <w:tab w:val="left" w:pos="0" w:leader="none"/>
          <w:tab w:val="left" w:pos="720" w:leader="none"/>
        </w:tabs>
        <w:suppressAutoHyphens w:val="true"/>
        <w:spacing w:before="240" w:after="0"/>
        <w:ind w:hanging="1440" w:start="1440" w:end="0"/>
        <w:rPr/>
      </w:pPr>
      <w:r>
        <w:rPr>
          <w:b/>
          <w:bCs/>
        </w:rPr>
        <w:tab/>
        <w:tab/>
        <w:t>Credit Event Upon Merger</w:t>
      </w:r>
      <w:r>
        <w:rPr/>
        <w:t xml:space="preserve">.  If "Credit Event Upon Merger" is specified in the Schedule as applying to the party, such party ("X"), any Credit Support Provider of X or any applicable Specified Entity of X: </w:t>
      </w:r>
      <w:r>
        <w:rPr>
          <w:i/>
          <w:iCs/>
        </w:rPr>
        <w:t>(1)(A)</w:t>
      </w:r>
      <w:r>
        <w:rPr/>
        <w:t xml:space="preserve"> consolidates or amalgamates with, or merges with or into, or transfers all or substantially all its assets to, </w:t>
      </w:r>
      <w:r>
        <w:rPr>
          <w:i/>
          <w:iCs/>
        </w:rPr>
        <w:t>or reorganizes, reincorporates, or reconstitutes into or as</w:t>
      </w:r>
      <w:r>
        <w:rPr/>
        <w:t xml:space="preserve"> another entity or </w:t>
      </w:r>
      <w:r>
        <w:rPr>
          <w:i/>
          <w:iCs/>
        </w:rPr>
        <w:t>(B) enters into any agreement providing for any of the actions described in (A) and (2) such action described in (1)(A) or (1)(B)</w:t>
      </w:r>
      <w:r>
        <w:rPr/>
        <w:t xml:space="preserve"> does not constitute an event described in Section 5(a)(viii) but the creditworthiness of the resulting, surviving or transferee entity is materially weaker </w:t>
      </w:r>
      <w:r>
        <w:rPr>
          <w:i/>
          <w:iCs/>
        </w:rPr>
        <w:t>as determined by commercially reasonable judgment under then current market conditions</w:t>
      </w:r>
      <w:r>
        <w:rPr/>
        <w:t xml:space="preserve"> than that of X, such Credit Support Provider or such Specified Entity, as the case may be, immediately prior to such action (and, in such event, X or its successor or transferee, as appropriate, will be the Affected Party); provided, however, that for purposes of this Section (5) (b) (iv), the meaning of “materially weaker,” when applied to an entity, shall in any event include, but not be limited to, an entity that (1) is rated below BBB- by Standard &amp; Poor’s Rating Group (a division of McGraw-Hill, Inc.) or its successor (“S&amp;P”), or two rating levels lower than that of X or of such Credit Support Provider by S&amp;P or an equivalent service); or (2) is not rated, unless in connection with or after such action or event X or its successor or transferee provides (or causes to be provided) to the other party (“Y”) within two Local Business Days of Y’s written demand therefor Eligible Credit Support in an amount satisfactory to Y in its sole discretion.  If such Eligible Credit Support is provided, it shall be in addition to Eligible Credit Support required under the ISDA Credit Support Annex attached hereto as Annex A, but it shall be otherwise administered under Annex A.</w:t>
      </w:r>
    </w:p>
    <w:sectPr>
      <w:headerReference w:type="default" r:id="rId2"/>
      <w:footerReference w:type="default" r:id="rId3"/>
      <w:type w:val="nextPage"/>
      <w:pgSz w:w="12240" w:h="15840"/>
      <w:pgMar w:left="1440" w:right="1440" w:gutter="0" w:header="720" w:top="810" w:footer="720" w:bottom="1152"/>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jc w:val="center"/>
      <w:rPr/>
    </w:pPr>
    <w:r>
      <w:rPr/>
    </w:r>
  </w:p>
  <w:p>
    <w:pPr>
      <w:pStyle w:val="Footer"/>
      <w:widowControl/>
      <w:jc w:val="center"/>
      <w:rPr/>
    </w:pPr>
    <w:r>
      <w:rPr/>
      <w:t xml:space="preserve">- </w:t>
    </w:r>
    <w:r>
      <w:rPr>
        <w:rStyle w:val="PageNumber"/>
        <w:sz w:val="24"/>
        <w:szCs w:val="24"/>
      </w:rPr>
      <w:fldChar w:fldCharType="begin"/>
    </w:r>
    <w:r>
      <w:rPr>
        <w:rStyle w:val="PageNumber"/>
        <w:sz w:val="24"/>
        <w:szCs w:val="24"/>
      </w:rPr>
      <w:instrText xml:space="preserve"> PAGE </w:instrText>
    </w:r>
    <w:r>
      <w:rPr>
        <w:rStyle w:val="PageNumber"/>
        <w:sz w:val="24"/>
        <w:szCs w:val="24"/>
      </w:rPr>
      <w:fldChar w:fldCharType="separate"/>
    </w:r>
    <w:r>
      <w:rPr>
        <w:rStyle w:val="PageNumber"/>
        <w:sz w:val="24"/>
        <w:szCs w:val="24"/>
      </w:rPr>
      <w:t>1</w:t>
    </w:r>
    <w:r>
      <w:rPr>
        <w:rStyle w:val="PageNumber"/>
        <w:sz w:val="24"/>
        <w:szCs w:val="24"/>
      </w:rPr>
      <w:fldChar w:fldCharType="end"/>
    </w:r>
    <w:r>
      <w:rPr>
        <w:rStyle w:val="PageNumber"/>
        <w:sz w:val="24"/>
        <w:szCs w:val="24"/>
      </w:rPr>
      <w:t xml:space="preserve"> -</w:t>
    </w:r>
  </w:p>
  <w:p>
    <w:pPr>
      <w:pStyle w:val="Footer"/>
      <w:widowControl/>
      <w:rPr>
        <w:rStyle w:val="PageNumber"/>
        <w:sz w:val="24"/>
        <w:szCs w:val="24"/>
      </w:rPr>
    </w:pPr>
    <w:r>
      <w:rPr/>
    </w:r>
  </w:p>
  <w:p>
    <w:pPr>
      <w:pStyle w:val="Footer"/>
      <w:spacing w:lineRule="atLeast" w:line="20"/>
      <w:rPr/>
    </w:pPr>
    <w:r>
      <w:rPr>
        <w:vanish/>
        <w:sz w:val="16"/>
        <w:szCs w:val="16"/>
      </w:rPr>
      <w:t>|</w:t>
    </w:r>
    <w:r>
      <w:rPr>
        <w:sz w:val="16"/>
        <w:szCs w:val="16"/>
      </w:rPr>
      <w:fldChar w:fldCharType="begin"/>
    </w:r>
    <w:r>
      <w:rPr>
        <w:sz w:val="16"/>
        <w:szCs w:val="16"/>
      </w:rPr>
      <w:instrText xml:space="preserve"> FILENAME \p </w:instrText>
    </w:r>
    <w:r>
      <w:rPr>
        <w:sz w:val="16"/>
        <w:szCs w:val="16"/>
      </w:rPr>
      <w:fldChar w:fldCharType="separate"/>
    </w:r>
    <w:r>
      <w:rPr>
        <w:sz w:val="16"/>
        <w:szCs w:val="16"/>
      </w:rPr>
      <w:t>/mnt/main-storage/datasets/enron-docs/doc/correctedENRONSchedule.doc</w:t>
    </w:r>
    <w:r>
      <w:rPr>
        <w:sz w:val="16"/>
        <w:szCs w:val="16"/>
      </w:rPr>
      <w:fldChar w:fldCharType="end"/>
    </w:r>
    <w:r>
      <w:rPr>
        <w:vanish/>
        <w:sz w:val="16"/>
        <w:szCs w:val="16"/>
      </w:rPr>
      <w:t>|</w:t>
    </w:r>
    <w:r>
      <w:rPr>
        <w:sz w:val="16"/>
        <w:szCs w:val="16"/>
      </w:rPr>
      <w:tab/>
      <w:tab/>
    </w:r>
    <w:r>
      <w:rPr>
        <w:sz w:val="16"/>
        <w:szCs w:val="16"/>
      </w:rPr>
      <w:fldChar w:fldCharType="begin"/>
    </w:r>
    <w:r>
      <w:rPr>
        <w:sz w:val="16"/>
        <w:szCs w:val="16"/>
      </w:rPr>
      <w:instrText xml:space="preserve"> DATE \@"M\/d\/yy" </w:instrText>
    </w:r>
    <w:r>
      <w:rPr>
        <w:sz w:val="16"/>
        <w:szCs w:val="16"/>
      </w:rPr>
      <w:fldChar w:fldCharType="separate"/>
    </w:r>
    <w:r>
      <w:rPr>
        <w:sz w:val="16"/>
        <w:szCs w:val="16"/>
      </w:rPr>
      <w:t>9/28/25</w:t>
    </w:r>
    <w:r>
      <w:rPr>
        <w:sz w:val="16"/>
        <w:szCs w:val="16"/>
      </w:rPr>
      <w:fldChar w:fldCharType="end"/>
    </w:r>
    <w:r>
      <w:rPr>
        <w:sz w:val="16"/>
        <w:szCs w:val="16"/>
      </w:rPr>
      <w:t xml:space="preserve"> </w:t>
    </w:r>
    <w:r>
      <w:rPr>
        <w:sz w:val="16"/>
        <w:szCs w:val="16"/>
      </w:rPr>
      <w:fldChar w:fldCharType="begin"/>
    </w:r>
    <w:r>
      <w:rPr>
        <w:sz w:val="16"/>
        <w:szCs w:val="16"/>
      </w:rPr>
      <w:instrText xml:space="preserve"> TIME \@"H:mm" </w:instrText>
    </w:r>
    <w:r>
      <w:rPr>
        <w:sz w:val="16"/>
        <w:szCs w:val="16"/>
      </w:rPr>
      <w:fldChar w:fldCharType="separate"/>
    </w:r>
    <w:r>
      <w:rPr>
        <w:sz w:val="16"/>
        <w:szCs w:val="16"/>
      </w:rPr>
      <w:t>9:28</w:t>
    </w:r>
    <w:r>
      <w:rPr>
        <w:sz w:val="16"/>
        <w:szCs w:val="16"/>
      </w:rPr>
      <w:fldChar w:fldCharType="end"/>
    </w:r>
    <w:r>
      <w:rPr>
        <w:vanish/>
        <w:sz w:val="16"/>
        <w:szCs w:val="16"/>
      </w:rPr>
      <w:t>||</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tabs>
        <w:tab w:val="clear" w:pos="720"/>
        <w:tab w:val="left" w:pos="-1440" w:leader="none"/>
        <w:tab w:val="left" w:pos="-720" w:leader="none"/>
      </w:tabs>
      <w:suppressAutoHyphens w:val="true"/>
      <w:rPr>
        <w:sz w:val="14"/>
        <w:szCs w:val="14"/>
      </w:rPr>
    </w:pPr>
    <w:r>
      <w:rPr>
        <w:sz w:val="14"/>
        <w:szCs w:val="14"/>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suff w:val="nothing"/>
      <w:lvlText w:val="%1"/>
      <w:lvlJc w:val="start"/>
      <w:pPr>
        <w:tabs>
          <w:tab w:val="num" w:pos="0"/>
        </w:tabs>
        <w:ind w:start="0" w:hanging="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3">
    <w:lvl w:ilvl="0">
      <w:start w:val="1"/>
      <w:numFmt w:val="lowerLetter"/>
      <w:suff w:val="nothing"/>
      <w:lvlText w:val="(%1)"/>
      <w:lvlJc w:val="start"/>
      <w:pPr>
        <w:tabs>
          <w:tab w:val="num" w:pos="0"/>
        </w:tabs>
        <w:ind w:start="0" w:hanging="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4">
    <w:lvl w:ilvl="0">
      <w:start w:val="1"/>
      <w:numFmt w:val="decimal"/>
      <w:suff w:val="nothing"/>
      <w:lvlText w:val="%1."/>
      <w:lvlJc w:val="start"/>
      <w:pPr>
        <w:tabs>
          <w:tab w:val="num" w:pos="0"/>
        </w:tabs>
        <w:ind w:start="0" w:hanging="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5">
    <w:lvl w:ilvl="0">
      <w:start w:val="1"/>
      <w:numFmt w:val="lowerLetter"/>
      <w:suff w:val="nothing"/>
      <w:lvlText w:val="%1."/>
      <w:lvlJc w:val="start"/>
      <w:pPr>
        <w:tabs>
          <w:tab w:val="num" w:pos="0"/>
        </w:tabs>
        <w:ind w:start="0" w:hanging="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6">
    <w:lvl w:ilvl="0">
      <w:start w:val="1"/>
      <w:numFmt w:val="decimal"/>
      <w:suff w:val="nothing"/>
      <w:lvlText w:val="(%1)"/>
      <w:lvlJc w:val="start"/>
      <w:pPr>
        <w:tabs>
          <w:tab w:val="num" w:pos="0"/>
        </w:tabs>
        <w:ind w:start="0" w:hanging="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7">
    <w:lvl w:ilvl="0">
      <w:start w:val="1"/>
      <w:numFmt w:val="lowerLetter"/>
      <w:suff w:val="nothing"/>
      <w:lvlText w:val="(%1)"/>
      <w:lvlJc w:val="start"/>
      <w:pPr>
        <w:tabs>
          <w:tab w:val="num" w:pos="0"/>
        </w:tabs>
        <w:ind w:start="0" w:hanging="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8">
    <w:lvl w:ilvl="0">
      <w:start w:val="1"/>
      <w:numFmt w:val="lowerRoman"/>
      <w:suff w:val="nothing"/>
      <w:lvlText w:val="%1)"/>
      <w:lvlJc w:val="start"/>
      <w:pPr>
        <w:tabs>
          <w:tab w:val="num" w:pos="0"/>
        </w:tabs>
        <w:ind w:start="0" w:hanging="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9">
    <w:lvl w:ilvl="0">
      <w:start w:val="1"/>
      <w:numFmt w:val="lowerLetter"/>
      <w:suff w:val="nothing"/>
      <w:lvlText w:val="%1)"/>
      <w:lvlJc w:val="start"/>
      <w:pPr>
        <w:tabs>
          <w:tab w:val="num" w:pos="0"/>
        </w:tabs>
        <w:ind w:start="0" w:hanging="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w="http://schemas.openxmlformats.org/wordprocessingml/2006/main">
  <w:zoom w:percent="100"/>
  <w:revisionView w:insDel="0" w:formatting="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4"/>
      <w:szCs w:val="24"/>
      <w:lang w:val="en-US" w:eastAsia="zh-CN" w:bidi="hi-IN"/>
    </w:rPr>
  </w:style>
  <w:style w:type="paragraph" w:styleId="Heading1">
    <w:name w:val="heading 1"/>
    <w:basedOn w:val="Normal"/>
    <w:next w:val="Normal"/>
    <w:qFormat/>
    <w:pPr>
      <w:numPr>
        <w:ilvl w:val="0"/>
        <w:numId w:val="2"/>
      </w:numPr>
      <w:outlineLvl w:val="0"/>
    </w:pPr>
    <w:rPr/>
  </w:style>
  <w:style w:type="paragraph" w:styleId="Heading2">
    <w:name w:val="heading 2"/>
    <w:basedOn w:val="Normal"/>
    <w:next w:val="Normal"/>
    <w:qFormat/>
    <w:pPr>
      <w:numPr>
        <w:ilvl w:val="1"/>
        <w:numId w:val="3"/>
      </w:numPr>
      <w:outlineLvl w:val="1"/>
    </w:pPr>
    <w:rPr/>
  </w:style>
  <w:style w:type="paragraph" w:styleId="Heading3">
    <w:name w:val="heading 3"/>
    <w:basedOn w:val="Normal"/>
    <w:next w:val="Normal"/>
    <w:qFormat/>
    <w:pPr>
      <w:numPr>
        <w:ilvl w:val="2"/>
        <w:numId w:val="4"/>
      </w:numPr>
      <w:outlineLvl w:val="2"/>
    </w:pPr>
    <w:rPr/>
  </w:style>
  <w:style w:type="paragraph" w:styleId="Heading4">
    <w:name w:val="heading 4"/>
    <w:basedOn w:val="Normal"/>
    <w:next w:val="Normal"/>
    <w:qFormat/>
    <w:pPr>
      <w:numPr>
        <w:ilvl w:val="3"/>
        <w:numId w:val="5"/>
      </w:numPr>
      <w:outlineLvl w:val="3"/>
    </w:pPr>
    <w:rPr/>
  </w:style>
  <w:style w:type="paragraph" w:styleId="Heading5">
    <w:name w:val="heading 5"/>
    <w:basedOn w:val="Normal"/>
    <w:next w:val="Normal"/>
    <w:qFormat/>
    <w:pPr>
      <w:numPr>
        <w:ilvl w:val="4"/>
        <w:numId w:val="6"/>
      </w:numPr>
      <w:outlineLvl w:val="4"/>
    </w:pPr>
    <w:rPr/>
  </w:style>
  <w:style w:type="paragraph" w:styleId="Heading6">
    <w:name w:val="heading 6"/>
    <w:basedOn w:val="Normal"/>
    <w:next w:val="Normal"/>
    <w:qFormat/>
    <w:pPr>
      <w:numPr>
        <w:ilvl w:val="5"/>
        <w:numId w:val="7"/>
      </w:numPr>
      <w:outlineLvl w:val="5"/>
    </w:pPr>
    <w:rPr/>
  </w:style>
  <w:style w:type="paragraph" w:styleId="Heading7">
    <w:name w:val="heading 7"/>
    <w:basedOn w:val="Normal"/>
    <w:next w:val="Normal"/>
    <w:qFormat/>
    <w:pPr>
      <w:numPr>
        <w:ilvl w:val="6"/>
        <w:numId w:val="8"/>
      </w:numPr>
      <w:outlineLvl w:val="6"/>
    </w:pPr>
    <w:rPr/>
  </w:style>
  <w:style w:type="paragraph" w:styleId="Heading8">
    <w:name w:val="heading 8"/>
    <w:basedOn w:val="Normal"/>
    <w:next w:val="Normal"/>
    <w:qFormat/>
    <w:pPr>
      <w:numPr>
        <w:ilvl w:val="7"/>
        <w:numId w:val="9"/>
      </w:numPr>
      <w:outlineLvl w:val="7"/>
    </w:pPr>
    <w:rPr/>
  </w:style>
  <w:style w:type="character" w:styleId="DefaultParagraphFont">
    <w:name w:val="Default Paragraph Font"/>
    <w:qFormat/>
    <w:rPr/>
  </w:style>
  <w:style w:type="character" w:styleId="FootnoteCharacters">
    <w:name w:val="Footnote Characters"/>
    <w:basedOn w:val="DefaultParagraphFont"/>
    <w:qFormat/>
    <w:rPr>
      <w:sz w:val="20"/>
      <w:szCs w:val="20"/>
      <w:vertAlign w:val="superscript"/>
    </w:rPr>
  </w:style>
  <w:style w:type="character" w:styleId="zzmpTrailerItem">
    <w:name w:val="zzmpTrailerItem"/>
    <w:basedOn w:val="DefaultParagraphFont"/>
    <w:qFormat/>
    <w:rPr>
      <w:sz w:val="13"/>
      <w:szCs w:val="13"/>
    </w:rPr>
  </w:style>
  <w:style w:type="character" w:styleId="PageNumber">
    <w:name w:val="page number"/>
    <w:basedOn w:val="DefaultParagraphFont"/>
    <w:rPr>
      <w:sz w:val="20"/>
      <w:szCs w:val="20"/>
    </w:rPr>
  </w:style>
  <w:style w:type="character" w:styleId="EndnoteCharacters">
    <w:name w:val="Endnote Characters"/>
    <w:basedOn w:val="DefaultParagraphFont"/>
    <w:qFormat/>
    <w:rPr>
      <w:sz w:val="20"/>
      <w:szCs w:val="20"/>
      <w:vertAlign w:val="superscrip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before="0" w:after="12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FootnoteText">
    <w:name w:val="footnote text"/>
    <w:basedOn w:val="Normal"/>
    <w:pPr/>
    <w:rPr>
      <w:sz w:val="20"/>
      <w:szCs w:val="20"/>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EndnoteText">
    <w:name w:val="endnote text"/>
    <w:basedOn w:val="Normal"/>
    <w:pPr/>
    <w:rPr>
      <w:sz w:val="20"/>
      <w:szCs w:val="20"/>
    </w:rPr>
  </w:style>
  <w:style w:type="paragraph" w:styleId="TOC3">
    <w:name w:val="toc 3"/>
    <w:basedOn w:val="Normal"/>
    <w:next w:val="Normal"/>
    <w:pPr>
      <w:tabs>
        <w:tab w:val="clear" w:pos="720"/>
        <w:tab w:val="right" w:pos="9360" w:leader="dot"/>
      </w:tabs>
      <w:suppressAutoHyphens w:val="true"/>
      <w:ind w:hanging="720" w:start="2160" w:end="720"/>
    </w:pPr>
    <w:rPr>
      <w:sz w:val="20"/>
      <w:szCs w:val="20"/>
    </w:rPr>
  </w:style>
  <w:style w:type="paragraph" w:styleId="FrameContents">
    <w:name w:val="Frame Contents"/>
    <w:basedOn w:val="Normal"/>
    <w:qFormat/>
    <w:pPr/>
    <w:rPr/>
  </w:style>
  <w:style w:type="numbering" w:styleId="WW8StyleNum">
    <w:name w:val="WW8StyleNum"/>
    <w:qFormat/>
  </w:style>
  <w:style w:type="numbering" w:styleId="WW8StyleNum1">
    <w:name w:val="WW8StyleNum1"/>
    <w:qFormat/>
  </w:style>
  <w:style w:type="numbering" w:styleId="WW8StyleNum2">
    <w:name w:val="WW8StyleNum2"/>
    <w:qFormat/>
  </w:style>
  <w:style w:type="numbering" w:styleId="WW8StyleNum3">
    <w:name w:val="WW8StyleNum3"/>
    <w:qFormat/>
  </w:style>
  <w:style w:type="numbering" w:styleId="WW8StyleNum4">
    <w:name w:val="WW8StyleNum4"/>
    <w:qFormat/>
  </w:style>
  <w:style w:type="numbering" w:styleId="WW8StyleNum5">
    <w:name w:val="WW8StyleNum5"/>
    <w:qFormat/>
  </w:style>
  <w:style w:type="numbering" w:styleId="WW8StyleNum6">
    <w:name w:val="WW8StyleNum6"/>
    <w:qFormat/>
  </w:style>
  <w:style w:type="numbering" w:styleId="WW8StyleNum7">
    <w:name w:val="WW8StyleNum7"/>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2000-05-22T20:39:00Z</dcterms:created>
  <dc:creator>.</dc:creator>
  <dc:description/>
  <dc:language>en-CA</dc:language>
  <cp:lastModifiedBy>.</cp:lastModifiedBy>
  <cp:lastPrinted>2000-05-17T16:01:00Z</cp:lastPrinted>
  <dcterms:modified xsi:type="dcterms:W3CDTF">2000-05-22T20:40:00Z</dcterms:modified>
  <cp:revision>4</cp:revision>
  <dc:subject/>
  <dc:title>SCHEDULE</dc:title>
</cp:coreProperties>
</file>