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t>To:</w:t>
        <w:tab/>
        <w:tab/>
        <w:t>Ken Lay</w:t>
      </w:r>
    </w:p>
    <w:p>
      <w:pPr>
        <w:pStyle w:val="Normal"/>
        <w:rPr>
          <w:sz w:val="20"/>
        </w:rPr>
      </w:pPr>
      <w:r>
        <w:rPr>
          <w:sz w:val="20"/>
        </w:rPr>
        <w:tab/>
        <w:tab/>
        <w:t>Steve Kean</w:t>
      </w:r>
    </w:p>
    <w:p>
      <w:pPr>
        <w:pStyle w:val="Normal"/>
        <w:rPr>
          <w:sz w:val="20"/>
        </w:rPr>
      </w:pPr>
      <w:r>
        <w:rPr>
          <w:sz w:val="20"/>
        </w:rPr>
      </w:r>
    </w:p>
    <w:p>
      <w:pPr>
        <w:pStyle w:val="Normal"/>
        <w:rPr>
          <w:sz w:val="20"/>
        </w:rPr>
      </w:pPr>
      <w:r>
        <w:rPr>
          <w:sz w:val="20"/>
        </w:rPr>
        <w:t>From:</w:t>
        <w:tab/>
        <w:tab/>
        <w:t>Jeff Dasovich</w:t>
      </w:r>
    </w:p>
    <w:p>
      <w:pPr>
        <w:pStyle w:val="Normal"/>
        <w:rPr>
          <w:sz w:val="20"/>
        </w:rPr>
      </w:pPr>
      <w:r>
        <w:rPr>
          <w:sz w:val="20"/>
        </w:rPr>
      </w:r>
    </w:p>
    <w:p>
      <w:pPr>
        <w:pStyle w:val="Normal"/>
        <w:rPr>
          <w:sz w:val="20"/>
        </w:rPr>
      </w:pPr>
      <w:r>
        <w:rPr>
          <w:sz w:val="20"/>
        </w:rPr>
        <w:t>Date:</w:t>
        <w:tab/>
        <w:tab/>
        <w:t>May 23, 2001</w:t>
      </w:r>
    </w:p>
    <w:p>
      <w:pPr>
        <w:pStyle w:val="Normal"/>
        <w:rPr>
          <w:sz w:val="20"/>
        </w:rPr>
      </w:pPr>
      <w:r>
        <w:rPr>
          <w:sz w:val="20"/>
        </w:rPr>
      </w:r>
    </w:p>
    <w:p>
      <w:pPr>
        <w:pStyle w:val="Normal"/>
        <w:rPr>
          <w:sz w:val="20"/>
        </w:rPr>
      </w:pPr>
      <w:r>
        <w:rPr>
          <w:sz w:val="20"/>
        </w:rPr>
        <w:t>Re:</w:t>
        <w:tab/>
        <w:tab/>
        <w:t>Status of Core/Noncore Proposal</w:t>
      </w:r>
    </w:p>
    <w:p>
      <w:pPr>
        <w:pStyle w:val="Normal"/>
        <w:pBdr>
          <w:top w:val="single" w:sz="4" w:space="1" w:color="000000"/>
        </w:pBdr>
        <w:rPr>
          <w:sz w:val="20"/>
        </w:rPr>
      </w:pPr>
      <w:r>
        <w:rPr>
          <w:sz w:val="20"/>
        </w:rPr>
      </w:r>
    </w:p>
    <w:p>
      <w:pPr>
        <w:pStyle w:val="Normal"/>
        <w:pBdr>
          <w:top w:val="single" w:sz="4" w:space="1" w:color="000000"/>
        </w:pBdr>
        <w:rPr>
          <w:sz w:val="20"/>
        </w:rPr>
      </w:pPr>
      <w:r>
        <w:rPr>
          <w:sz w:val="20"/>
        </w:rPr>
        <w:t>When you were describing the core/noncore structure during your visits to California over the past several weeks, you asked that we estimate what the rates would look like under that structure.  We had begun that analysis when, as you recall, Speaker Hertzberg phoned last week during our meetings with the Silicon Valley business leaders expressing interest in the core/noncore proposal.  He was intrigued and asked us to model the structure.  This memo provides a summary of the analysis. Steve will provide you with a status report orally on the most recent events (i.e., last 48 hours), since we delivered the analysis to the Speaker.</w:t>
      </w:r>
    </w:p>
    <w:p>
      <w:pPr>
        <w:pStyle w:val="Normal"/>
        <w:pBdr>
          <w:top w:val="single" w:sz="4" w:space="1" w:color="000000"/>
        </w:pBdr>
        <w:rPr>
          <w:sz w:val="20"/>
        </w:rPr>
      </w:pPr>
      <w:r>
        <w:rPr>
          <w:sz w:val="20"/>
        </w:rPr>
      </w:r>
    </w:p>
    <w:p>
      <w:pPr>
        <w:pStyle w:val="Normal"/>
        <w:pBdr>
          <w:top w:val="single" w:sz="4" w:space="1" w:color="000000"/>
        </w:pBdr>
        <w:rPr>
          <w:b/>
          <w:bCs/>
          <w:sz w:val="20"/>
        </w:rPr>
      </w:pPr>
      <w:r>
        <w:rPr>
          <w:b/>
          <w:bCs/>
          <w:sz w:val="20"/>
        </w:rPr>
        <w:t>The proposal:</w:t>
      </w:r>
    </w:p>
    <w:p>
      <w:pPr>
        <w:pStyle w:val="Normal"/>
        <w:numPr>
          <w:ilvl w:val="0"/>
          <w:numId w:val="3"/>
        </w:numPr>
        <w:tabs>
          <w:tab w:val="clear" w:pos="720"/>
        </w:tabs>
        <w:ind w:hanging="360" w:start="360" w:end="0"/>
        <w:rPr>
          <w:sz w:val="20"/>
        </w:rPr>
      </w:pPr>
      <w:r>
        <w:rPr>
          <w:sz w:val="20"/>
        </w:rPr>
        <w:t>Move to core/noncore market structure in 18-24 months.</w:t>
      </w:r>
    </w:p>
    <w:p>
      <w:pPr>
        <w:pStyle w:val="Normal"/>
        <w:numPr>
          <w:ilvl w:val="0"/>
          <w:numId w:val="3"/>
        </w:numPr>
        <w:tabs>
          <w:tab w:val="clear" w:pos="720"/>
        </w:tabs>
        <w:ind w:hanging="360" w:start="360" w:end="0"/>
        <w:rPr>
          <w:sz w:val="20"/>
        </w:rPr>
      </w:pPr>
      <w:r>
        <w:rPr>
          <w:sz w:val="20"/>
        </w:rPr>
        <w:t>The utilities retained generation, QF contracts and ALL DWR contracts would be used to serve small (core) customers.</w:t>
      </w:r>
    </w:p>
    <w:p>
      <w:pPr>
        <w:pStyle w:val="Normal"/>
        <w:numPr>
          <w:ilvl w:val="0"/>
          <w:numId w:val="3"/>
        </w:numPr>
        <w:tabs>
          <w:tab w:val="clear" w:pos="720"/>
        </w:tabs>
        <w:ind w:hanging="360" w:start="360" w:end="0"/>
        <w:rPr>
          <w:sz w:val="20"/>
        </w:rPr>
      </w:pPr>
      <w:r>
        <w:rPr>
          <w:sz w:val="20"/>
        </w:rPr>
        <w:t>This would eliminate the short position for core customers, providing price certainty and stability.</w:t>
      </w:r>
    </w:p>
    <w:p>
      <w:pPr>
        <w:pStyle w:val="Normal"/>
        <w:numPr>
          <w:ilvl w:val="0"/>
          <w:numId w:val="3"/>
        </w:numPr>
        <w:tabs>
          <w:tab w:val="clear" w:pos="720"/>
        </w:tabs>
        <w:ind w:hanging="360" w:start="360" w:end="0"/>
        <w:rPr>
          <w:sz w:val="20"/>
        </w:rPr>
      </w:pPr>
      <w:r>
        <w:rPr>
          <w:sz w:val="20"/>
        </w:rPr>
        <w:t>By eliminating the short position, DWR could (should) cease its power contracting activities immediately.</w:t>
      </w:r>
    </w:p>
    <w:p>
      <w:pPr>
        <w:pStyle w:val="Normal"/>
        <w:numPr>
          <w:ilvl w:val="0"/>
          <w:numId w:val="3"/>
        </w:numPr>
        <w:tabs>
          <w:tab w:val="clear" w:pos="720"/>
        </w:tabs>
        <w:ind w:hanging="360" w:start="360" w:end="0"/>
        <w:rPr>
          <w:sz w:val="20"/>
        </w:rPr>
      </w:pPr>
      <w:r>
        <w:rPr>
          <w:sz w:val="20"/>
        </w:rPr>
        <w:t>For the purposes of modeling, if the combination of IOU generation, QFs and DWR contracts creates a long position for core, the excess is sold to the market (at prices included in the forward curves) and credited back to customers through rate reductions.</w:t>
      </w:r>
    </w:p>
    <w:p>
      <w:pPr>
        <w:pStyle w:val="Normal"/>
        <w:numPr>
          <w:ilvl w:val="0"/>
          <w:numId w:val="3"/>
        </w:numPr>
        <w:tabs>
          <w:tab w:val="clear" w:pos="720"/>
        </w:tabs>
        <w:ind w:hanging="360" w:start="360" w:end="0"/>
        <w:rPr>
          <w:sz w:val="20"/>
        </w:rPr>
      </w:pPr>
      <w:r>
        <w:rPr>
          <w:sz w:val="20"/>
        </w:rPr>
        <w:t>In return, large (noncore) customers:</w:t>
      </w:r>
    </w:p>
    <w:p>
      <w:pPr>
        <w:pStyle w:val="Normal"/>
        <w:numPr>
          <w:ilvl w:val="0"/>
          <w:numId w:val="6"/>
        </w:numPr>
        <w:tabs>
          <w:tab w:val="clear" w:pos="720"/>
        </w:tabs>
        <w:ind w:hanging="360" w:start="720" w:end="0"/>
        <w:rPr>
          <w:sz w:val="20"/>
        </w:rPr>
      </w:pPr>
      <w:r>
        <w:rPr>
          <w:sz w:val="20"/>
        </w:rPr>
        <w:t>would get the competitive market they were promised but never got;</w:t>
      </w:r>
    </w:p>
    <w:p>
      <w:pPr>
        <w:pStyle w:val="Normal"/>
        <w:numPr>
          <w:ilvl w:val="0"/>
          <w:numId w:val="6"/>
        </w:numPr>
        <w:tabs>
          <w:tab w:val="clear" w:pos="720"/>
        </w:tabs>
        <w:ind w:hanging="360" w:start="720" w:end="0"/>
        <w:rPr>
          <w:sz w:val="20"/>
        </w:rPr>
      </w:pPr>
      <w:r>
        <w:rPr>
          <w:sz w:val="20"/>
        </w:rPr>
        <w:t>would operate in a structure that has worked very well for ten years on the gas side and that large customers (and policy makers) know well;</w:t>
      </w:r>
    </w:p>
    <w:p>
      <w:pPr>
        <w:pStyle w:val="Normal"/>
        <w:numPr>
          <w:ilvl w:val="0"/>
          <w:numId w:val="6"/>
        </w:numPr>
        <w:tabs>
          <w:tab w:val="clear" w:pos="720"/>
        </w:tabs>
        <w:ind w:hanging="360" w:start="720" w:end="0"/>
        <w:rPr>
          <w:sz w:val="20"/>
        </w:rPr>
      </w:pPr>
      <w:r>
        <w:rPr>
          <w:sz w:val="20"/>
        </w:rPr>
        <w:t xml:space="preserve">would be exempted from paying for power contracts entered into by DWR, since that power would be assigned to core customers; and, </w:t>
      </w:r>
    </w:p>
    <w:p>
      <w:pPr>
        <w:pStyle w:val="Normal"/>
        <w:numPr>
          <w:ilvl w:val="0"/>
          <w:numId w:val="6"/>
        </w:numPr>
        <w:tabs>
          <w:tab w:val="clear" w:pos="720"/>
        </w:tabs>
        <w:ind w:hanging="360" w:start="720" w:end="0"/>
        <w:rPr>
          <w:sz w:val="20"/>
        </w:rPr>
      </w:pPr>
      <w:r>
        <w:rPr>
          <w:sz w:val="20"/>
        </w:rPr>
        <w:t>would not be subject to any additional rate increases or regulation of the commodity imposed by the California PUC (i.e., Loretta Lynch).</w:t>
      </w:r>
    </w:p>
    <w:p>
      <w:pPr>
        <w:pStyle w:val="Normal"/>
        <w:numPr>
          <w:ilvl w:val="0"/>
          <w:numId w:val="1"/>
        </w:numPr>
        <w:tabs>
          <w:tab w:val="clear" w:pos="720"/>
        </w:tabs>
        <w:ind w:hanging="360" w:start="360" w:end="0"/>
        <w:rPr>
          <w:sz w:val="20"/>
        </w:rPr>
      </w:pPr>
      <w:r>
        <w:rPr>
          <w:sz w:val="20"/>
        </w:rPr>
        <w:t>Under our proposal, core and noncore customers would be responsible for their proportionate share of past utility debt and past DWR purchases.</w:t>
      </w:r>
    </w:p>
    <w:p>
      <w:pPr>
        <w:pStyle w:val="Normal"/>
        <w:numPr>
          <w:ilvl w:val="0"/>
          <w:numId w:val="1"/>
        </w:numPr>
        <w:tabs>
          <w:tab w:val="clear" w:pos="720"/>
        </w:tabs>
        <w:ind w:hanging="360" w:start="360" w:end="0"/>
        <w:rPr>
          <w:sz w:val="20"/>
        </w:rPr>
      </w:pPr>
      <w:r>
        <w:rPr>
          <w:sz w:val="20"/>
        </w:rPr>
        <w:t>We used the numbers provided in the MOU in order to ensure an “apples to apples” comparison.</w:t>
      </w:r>
    </w:p>
    <w:p>
      <w:pPr>
        <w:pStyle w:val="Normal"/>
        <w:numPr>
          <w:ilvl w:val="0"/>
          <w:numId w:val="1"/>
        </w:numPr>
        <w:tabs>
          <w:tab w:val="clear" w:pos="720"/>
        </w:tabs>
        <w:ind w:hanging="360" w:start="360" w:end="0"/>
        <w:rPr>
          <w:sz w:val="20"/>
        </w:rPr>
      </w:pPr>
      <w:r>
        <w:rPr>
          <w:sz w:val="20"/>
        </w:rPr>
        <w:t>However, the forward prices curves used in the MOU are about 60-70% higher than the forecasts used by a highly regarded independent 3</w:t>
      </w:r>
      <w:r>
        <w:rPr>
          <w:sz w:val="20"/>
          <w:vertAlign w:val="superscript"/>
        </w:rPr>
        <w:t>rd</w:t>
      </w:r>
      <w:r>
        <w:rPr>
          <w:sz w:val="20"/>
        </w:rPr>
        <w:t xml:space="preserve"> party industry consultant (Henwood).</w:t>
      </w:r>
    </w:p>
    <w:p>
      <w:pPr>
        <w:pStyle w:val="Normal"/>
        <w:numPr>
          <w:ilvl w:val="0"/>
          <w:numId w:val="1"/>
        </w:numPr>
        <w:tabs>
          <w:tab w:val="clear" w:pos="720"/>
        </w:tabs>
        <w:ind w:hanging="360" w:start="360" w:end="0"/>
        <w:rPr>
          <w:sz w:val="20"/>
        </w:rPr>
      </w:pPr>
      <w:r>
        <w:rPr>
          <w:sz w:val="20"/>
        </w:rPr>
        <w:t>We therefore decided to run separate scenarios, one using the MOU curves, and one using the midpoint between the MOU curves and the Henwood curves.</w:t>
      </w:r>
    </w:p>
    <w:p>
      <w:pPr>
        <w:pStyle w:val="Normal"/>
        <w:numPr>
          <w:ilvl w:val="0"/>
          <w:numId w:val="1"/>
        </w:numPr>
        <w:tabs>
          <w:tab w:val="clear" w:pos="720"/>
        </w:tabs>
        <w:ind w:hanging="360" w:start="360" w:end="0"/>
        <w:rPr>
          <w:i/>
          <w:i/>
          <w:iCs/>
          <w:sz w:val="20"/>
        </w:rPr>
      </w:pPr>
      <w:r>
        <w:rPr>
          <w:i/>
          <w:iCs/>
          <w:sz w:val="20"/>
        </w:rPr>
        <w:t>As you recall, Hertzberg asked for additional scenarios—he wanted to know what the results would be if noncore customers were forced to absorb 100% of the utilities’ past debts.</w:t>
      </w:r>
    </w:p>
    <w:p>
      <w:pPr>
        <w:pStyle w:val="Normal"/>
        <w:numPr>
          <w:ilvl w:val="0"/>
          <w:numId w:val="1"/>
        </w:numPr>
        <w:tabs>
          <w:tab w:val="clear" w:pos="720"/>
        </w:tabs>
        <w:ind w:hanging="360" w:start="360" w:end="0"/>
        <w:rPr>
          <w:sz w:val="20"/>
        </w:rPr>
      </w:pPr>
      <w:r>
        <w:rPr>
          <w:sz w:val="20"/>
        </w:rPr>
        <w:t>Consequently, we ultimately ran five scenarios:</w:t>
      </w:r>
    </w:p>
    <w:p>
      <w:pPr>
        <w:pStyle w:val="Normal"/>
        <w:numPr>
          <w:ilvl w:val="0"/>
          <w:numId w:val="2"/>
        </w:numPr>
        <w:rPr>
          <w:sz w:val="20"/>
        </w:rPr>
      </w:pPr>
      <w:r>
        <w:rPr>
          <w:sz w:val="20"/>
        </w:rPr>
        <w:t>Use MOU forward price curves with proportionate sharing of utility past debt between core and noncore</w:t>
      </w:r>
    </w:p>
    <w:p>
      <w:pPr>
        <w:pStyle w:val="Normal"/>
        <w:numPr>
          <w:ilvl w:val="0"/>
          <w:numId w:val="2"/>
        </w:numPr>
        <w:rPr>
          <w:sz w:val="20"/>
        </w:rPr>
      </w:pPr>
      <w:r>
        <w:rPr>
          <w:sz w:val="20"/>
        </w:rPr>
        <w:t>Use MOU forward price curves with noncore absorbing 50% of the core’s proportionate share of the past debts</w:t>
      </w:r>
    </w:p>
    <w:p>
      <w:pPr>
        <w:pStyle w:val="Normal"/>
        <w:numPr>
          <w:ilvl w:val="0"/>
          <w:numId w:val="2"/>
        </w:numPr>
        <w:rPr>
          <w:sz w:val="20"/>
        </w:rPr>
      </w:pPr>
      <w:r>
        <w:rPr>
          <w:sz w:val="20"/>
        </w:rPr>
        <w:t>Use blended MOU/Henwood forward price curves with proportionate sharing of utility past debt between core and noncore.</w:t>
      </w:r>
    </w:p>
    <w:p>
      <w:pPr>
        <w:pStyle w:val="Normal"/>
        <w:numPr>
          <w:ilvl w:val="0"/>
          <w:numId w:val="2"/>
        </w:numPr>
        <w:rPr>
          <w:sz w:val="20"/>
        </w:rPr>
      </w:pPr>
      <w:r>
        <w:rPr>
          <w:sz w:val="20"/>
        </w:rPr>
        <w:t>Use blended MOU/Henwood forward price curves with noncore absorbing 50% of the core’s proportionate share of the past debts</w:t>
      </w:r>
    </w:p>
    <w:p>
      <w:pPr>
        <w:pStyle w:val="Normal"/>
        <w:numPr>
          <w:ilvl w:val="0"/>
          <w:numId w:val="2"/>
        </w:numPr>
        <w:rPr>
          <w:sz w:val="20"/>
        </w:rPr>
      </w:pPr>
      <w:r>
        <w:rPr>
          <w:sz w:val="20"/>
        </w:rPr>
        <w:t>Use blended MOU/Henwood forward price curves with noncore absorbing 100% of the core’s proportionate share of the past debts</w:t>
      </w:r>
    </w:p>
    <w:p>
      <w:pPr>
        <w:pStyle w:val="Normal"/>
        <w:numPr>
          <w:ilvl w:val="0"/>
          <w:numId w:val="4"/>
        </w:numPr>
        <w:tabs>
          <w:tab w:val="clear" w:pos="720"/>
        </w:tabs>
        <w:ind w:hanging="360" w:start="360" w:end="0"/>
        <w:rPr>
          <w:i/>
          <w:i/>
          <w:iCs/>
          <w:sz w:val="20"/>
        </w:rPr>
      </w:pPr>
      <w:r>
        <w:rPr>
          <w:i/>
          <w:iCs/>
          <w:sz w:val="20"/>
        </w:rPr>
        <w:t>A table summarizing the scenarios is attached as an excel file.</w:t>
      </w:r>
      <w:r>
        <w:br w:type="page"/>
      </w:r>
    </w:p>
    <w:p>
      <w:pPr>
        <w:pStyle w:val="Normal"/>
        <w:rPr>
          <w:i/>
          <w:i/>
          <w:iCs/>
          <w:sz w:val="20"/>
        </w:rPr>
      </w:pPr>
      <w:r>
        <w:rPr>
          <w:i/>
          <w:iCs/>
          <w:sz w:val="20"/>
        </w:rPr>
      </w:r>
    </w:p>
    <w:p>
      <w:pPr>
        <w:pStyle w:val="Normal"/>
        <w:numPr>
          <w:ilvl w:val="1"/>
          <w:numId w:val="2"/>
        </w:numPr>
        <w:tabs>
          <w:tab w:val="clear" w:pos="720"/>
        </w:tabs>
        <w:ind w:hanging="360" w:start="360" w:end="0"/>
        <w:rPr>
          <w:sz w:val="20"/>
        </w:rPr>
      </w:pPr>
      <w:r>
        <w:rPr/>
        <w:t>The components that make up the rates are as follows:</w:t>
      </w:r>
    </w:p>
    <w:tbl>
      <w:tblPr>
        <w:tblW w:w="8856" w:type="dxa"/>
        <w:jc w:val="start"/>
        <w:tblInd w:w="0" w:type="dxa"/>
        <w:tblLayout w:type="fixed"/>
        <w:tblCellMar>
          <w:top w:w="0" w:type="dxa"/>
          <w:start w:w="108" w:type="dxa"/>
          <w:bottom w:w="0" w:type="dxa"/>
          <w:end w:w="108" w:type="dxa"/>
        </w:tblCellMar>
      </w:tblPr>
      <w:tblGrid>
        <w:gridCol w:w="4608"/>
        <w:gridCol w:w="4248"/>
      </w:tblGrid>
      <w:tr>
        <w:trPr/>
        <w:tc>
          <w:tcPr>
            <w:tcW w:w="4608"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Core Rate Structure</w:t>
            </w:r>
          </w:p>
        </w:tc>
        <w:tc>
          <w:tcPr>
            <w:tcW w:w="4248"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Noncore Rate Structure</w:t>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Share of past DWR cost</w:t>
            </w:r>
          </w:p>
        </w:tc>
        <w:tc>
          <w:tcPr>
            <w:tcW w:w="424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Share of past DWR cost</w:t>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Cost of short position (buy power from market)</w:t>
            </w:r>
          </w:p>
        </w:tc>
        <w:tc>
          <w:tcPr>
            <w:tcW w:w="424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Cost of short position (buy power from market)</w:t>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Value of long position  (sell excess power to market)</w:t>
            </w:r>
          </w:p>
        </w:tc>
        <w:tc>
          <w:tcPr>
            <w:tcW w:w="424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Not applicable</w:t>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Share of past utility debt</w:t>
            </w:r>
          </w:p>
        </w:tc>
        <w:tc>
          <w:tcPr>
            <w:tcW w:w="424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Share of past utility debt</w:t>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Other Transmission and Distribution</w:t>
            </w:r>
          </w:p>
        </w:tc>
        <w:tc>
          <w:tcPr>
            <w:tcW w:w="424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Other Transmission and Distribution</w:t>
            </w:r>
          </w:p>
        </w:tc>
      </w:tr>
    </w:tbl>
    <w:p>
      <w:pPr>
        <w:pStyle w:val="Normal"/>
        <w:rPr>
          <w:sz w:val="20"/>
        </w:rPr>
      </w:pPr>
      <w:r>
        <w:rPr>
          <w:sz w:val="20"/>
        </w:rPr>
      </w:r>
    </w:p>
    <w:p>
      <w:pPr>
        <w:pStyle w:val="Normal"/>
        <w:numPr>
          <w:ilvl w:val="1"/>
          <w:numId w:val="2"/>
        </w:numPr>
        <w:tabs>
          <w:tab w:val="clear" w:pos="720"/>
        </w:tabs>
        <w:ind w:hanging="360" w:start="360" w:end="0"/>
        <w:rPr>
          <w:sz w:val="20"/>
        </w:rPr>
      </w:pPr>
      <w:r>
        <w:rPr>
          <w:i/>
          <w:iCs/>
          <w:sz w:val="20"/>
        </w:rPr>
        <w:t>Share of past DWR cost</w:t>
      </w:r>
      <w:r>
        <w:rPr>
          <w:sz w:val="20"/>
        </w:rPr>
        <w:t xml:space="preserve"> </w:t>
      </w:r>
    </w:p>
    <w:p>
      <w:pPr>
        <w:pStyle w:val="Normal"/>
        <w:ind w:firstLine="720" w:end="0"/>
        <w:rPr>
          <w:sz w:val="20"/>
        </w:rPr>
      </w:pPr>
      <w:r>
        <w:rPr>
          <w:sz w:val="20"/>
        </w:rPr>
        <w:t>These costs are amortized over 15 years.</w:t>
      </w:r>
    </w:p>
    <w:p>
      <w:pPr>
        <w:pStyle w:val="Normal"/>
        <w:numPr>
          <w:ilvl w:val="1"/>
          <w:numId w:val="2"/>
        </w:numPr>
        <w:tabs>
          <w:tab w:val="clear" w:pos="720"/>
        </w:tabs>
        <w:ind w:hanging="360" w:start="360" w:end="0"/>
        <w:rPr>
          <w:sz w:val="20"/>
        </w:rPr>
      </w:pPr>
      <w:r>
        <w:rPr>
          <w:i/>
          <w:iCs/>
          <w:sz w:val="20"/>
        </w:rPr>
        <w:t>Cost of short position (buy power from market)</w:t>
      </w:r>
    </w:p>
    <w:p>
      <w:pPr>
        <w:pStyle w:val="BodyText"/>
        <w:ind w:start="720" w:end="0"/>
        <w:rPr/>
      </w:pPr>
      <w:r>
        <w:rPr/>
        <w:t xml:space="preserve">If short power, the core (noncore) sector purchases from the market using the MOU forward price curves or the blended curves, depending on the scenario.  To determine at what price noncore customers would buy from in the market, we derived a 10-year contract price from the forward price curves. </w:t>
      </w:r>
    </w:p>
    <w:p>
      <w:pPr>
        <w:pStyle w:val="Normal"/>
        <w:numPr>
          <w:ilvl w:val="1"/>
          <w:numId w:val="2"/>
        </w:numPr>
        <w:tabs>
          <w:tab w:val="clear" w:pos="720"/>
        </w:tabs>
        <w:ind w:hanging="360" w:start="360" w:end="0"/>
        <w:rPr>
          <w:sz w:val="20"/>
        </w:rPr>
      </w:pPr>
      <w:r>
        <w:rPr>
          <w:i/>
          <w:iCs/>
          <w:sz w:val="20"/>
        </w:rPr>
        <w:t>Value of long position (sell excess power to market)</w:t>
      </w:r>
    </w:p>
    <w:p>
      <w:pPr>
        <w:pStyle w:val="BodyText"/>
        <w:ind w:start="720" w:end="0"/>
        <w:rPr/>
      </w:pPr>
      <w:r>
        <w:rPr/>
        <w:t>If the core sector is long power (i.e., the combination of IOU generation, QF and DWR contracts exceed core’s demand, then the excess is sold back to the market (at prices determined by the forward curves used in the model).  Sales proceeds would be credited back to customers in rates. (Noncore starts out with a short position, since core receives the IOU generation and QF and DWR contracts.)</w:t>
      </w:r>
    </w:p>
    <w:p>
      <w:pPr>
        <w:pStyle w:val="Normal"/>
        <w:numPr>
          <w:ilvl w:val="1"/>
          <w:numId w:val="2"/>
        </w:numPr>
        <w:tabs>
          <w:tab w:val="clear" w:pos="720"/>
        </w:tabs>
        <w:ind w:hanging="360" w:start="360" w:end="0"/>
        <w:rPr>
          <w:sz w:val="20"/>
        </w:rPr>
      </w:pPr>
      <w:r>
        <w:rPr>
          <w:i/>
          <w:iCs/>
          <w:sz w:val="20"/>
        </w:rPr>
        <w:t>Share of past utility debt</w:t>
      </w:r>
      <w:r>
        <w:rPr>
          <w:sz w:val="20"/>
        </w:rPr>
        <w:t xml:space="preserve"> </w:t>
      </w:r>
    </w:p>
    <w:p>
      <w:pPr>
        <w:pStyle w:val="BodyText"/>
        <w:ind w:firstLine="720" w:end="0"/>
        <w:rPr/>
      </w:pPr>
      <w:r>
        <w:rPr/>
        <w:t>These costs are amortized over 20 years. (This differs from the MOU, which used 15 years.)</w:t>
      </w:r>
    </w:p>
    <w:p>
      <w:pPr>
        <w:pStyle w:val="Normal"/>
        <w:numPr>
          <w:ilvl w:val="1"/>
          <w:numId w:val="2"/>
        </w:numPr>
        <w:tabs>
          <w:tab w:val="clear" w:pos="720"/>
        </w:tabs>
        <w:ind w:hanging="360" w:start="360" w:end="0"/>
        <w:rPr>
          <w:sz w:val="20"/>
        </w:rPr>
      </w:pPr>
      <w:r>
        <w:rPr>
          <w:i/>
          <w:iCs/>
          <w:sz w:val="20"/>
        </w:rPr>
        <w:t>Other Transmission and Distribution</w:t>
      </w:r>
      <w:r>
        <w:rPr>
          <w:sz w:val="20"/>
        </w:rPr>
        <w:t xml:space="preserve"> </w:t>
      </w:r>
    </w:p>
    <w:p>
      <w:pPr>
        <w:pStyle w:val="Normal"/>
        <w:ind w:start="720" w:end="0"/>
        <w:rPr>
          <w:sz w:val="20"/>
        </w:rPr>
      </w:pPr>
      <w:r>
        <w:rPr>
          <w:sz w:val="20"/>
        </w:rPr>
        <w:t>The benchmark against which to compare the core/noncore structure is Loretta Lynch’s rate proposal.  Her proposal includes T&amp;D; therefore, we included estimates of T&amp;D costs in our model.</w:t>
      </w:r>
    </w:p>
    <w:p>
      <w:pPr>
        <w:pStyle w:val="Normal"/>
        <w:rPr>
          <w:b/>
          <w:bCs/>
          <w:sz w:val="20"/>
        </w:rPr>
      </w:pPr>
      <w:r>
        <w:rPr>
          <w:b/>
          <w:bCs/>
          <w:sz w:val="20"/>
        </w:rPr>
        <w:t>The results:</w:t>
      </w:r>
    </w:p>
    <w:p>
      <w:pPr>
        <w:pStyle w:val="Normal"/>
        <w:numPr>
          <w:ilvl w:val="0"/>
          <w:numId w:val="1"/>
        </w:numPr>
        <w:tabs>
          <w:tab w:val="clear" w:pos="720"/>
        </w:tabs>
        <w:ind w:hanging="360" w:start="360" w:end="0"/>
        <w:rPr>
          <w:sz w:val="20"/>
        </w:rPr>
      </w:pPr>
      <w:r>
        <w:rPr>
          <w:sz w:val="20"/>
        </w:rPr>
        <w:t>Under our proposal, when using the forward curves used in the MOU’s analysis, the results are very positive compared to Lynch’s rates for core customers.  For noncore customers, they’d be indifferent compared to Lynch’s rates for Edison, and worse compared to Lynch’s rates for PG&amp;E. (Scenario 1)</w:t>
      </w:r>
    </w:p>
    <w:p>
      <w:pPr>
        <w:pStyle w:val="Normal"/>
        <w:numPr>
          <w:ilvl w:val="0"/>
          <w:numId w:val="1"/>
        </w:numPr>
        <w:tabs>
          <w:tab w:val="clear" w:pos="720"/>
        </w:tabs>
        <w:ind w:hanging="360" w:start="360" w:end="0"/>
        <w:rPr>
          <w:sz w:val="20"/>
        </w:rPr>
      </w:pPr>
      <w:r>
        <w:rPr>
          <w:sz w:val="20"/>
        </w:rPr>
        <w:t>In the case where 50% of the core’s share of the utilities’ past debts is shifted to noncore customers, it’s not surprising that core customers make out better than Scenario 1, and noncore make out worse than Scenario 1. (Scenario 2)</w:t>
      </w:r>
    </w:p>
    <w:p>
      <w:pPr>
        <w:pStyle w:val="Normal"/>
        <w:numPr>
          <w:ilvl w:val="0"/>
          <w:numId w:val="1"/>
        </w:numPr>
        <w:tabs>
          <w:tab w:val="clear" w:pos="720"/>
        </w:tabs>
        <w:ind w:hanging="360" w:start="360" w:end="0"/>
        <w:rPr>
          <w:sz w:val="20"/>
        </w:rPr>
      </w:pPr>
      <w:r>
        <w:rPr>
          <w:sz w:val="20"/>
        </w:rPr>
        <w:t>When the “blended price curve is used,” (i.e., midpoint between the MOUs forward curves and Henwood’s forward curves) and core and noncore share proportionately in the IOU’s past debts, both core and noncore customers are better off when compared to Loretta’s rate increases. (Scenario 3)</w:t>
      </w:r>
    </w:p>
    <w:p>
      <w:pPr>
        <w:pStyle w:val="Normal"/>
        <w:numPr>
          <w:ilvl w:val="0"/>
          <w:numId w:val="1"/>
        </w:numPr>
        <w:tabs>
          <w:tab w:val="clear" w:pos="720"/>
        </w:tabs>
        <w:ind w:hanging="360" w:start="360" w:end="0"/>
        <w:rPr>
          <w:sz w:val="20"/>
        </w:rPr>
      </w:pPr>
      <w:r>
        <w:rPr>
          <w:sz w:val="20"/>
        </w:rPr>
        <w:t>Using the blended curve and shifting 50% of the core’s share of the utilities’ past debts to noncore makes core better off compared to Lynch’s rates.  For noncore, those in Edison’s territory would still be better off, but PG&amp;E’s would be slightly worse off. (Scenario 4)</w:t>
      </w:r>
    </w:p>
    <w:p>
      <w:pPr>
        <w:pStyle w:val="Normal"/>
        <w:numPr>
          <w:ilvl w:val="0"/>
          <w:numId w:val="1"/>
        </w:numPr>
        <w:tabs>
          <w:tab w:val="clear" w:pos="720"/>
        </w:tabs>
        <w:ind w:hanging="360" w:start="360" w:end="0"/>
        <w:rPr>
          <w:sz w:val="20"/>
        </w:rPr>
      </w:pPr>
      <w:r>
        <w:rPr>
          <w:sz w:val="20"/>
        </w:rPr>
        <w:t>Using the blended price curve and shifting 100% of the utilities past debt to noncore, the benefits to core increase compared to Scenario 4.  Edison’s noncore customers are still better off than they would be under Lynch’s rates, but PG&amp;E’s noncore customers’ rates are worse than Lynch’s by about 0.90 cents/kwh. (Scenario 5)</w:t>
      </w:r>
    </w:p>
    <w:p>
      <w:pPr>
        <w:pStyle w:val="BodyText"/>
        <w:rPr>
          <w:b/>
          <w:bCs/>
        </w:rPr>
      </w:pPr>
      <w:r>
        <w:rPr>
          <w:b/>
          <w:bCs/>
        </w:rPr>
        <w:t>Model sensitivities:</w:t>
      </w:r>
    </w:p>
    <w:p>
      <w:pPr>
        <w:pStyle w:val="BodyText"/>
        <w:numPr>
          <w:ilvl w:val="0"/>
          <w:numId w:val="5"/>
        </w:numPr>
        <w:rPr/>
      </w:pPr>
      <w:r>
        <w:rPr/>
        <w:t>The model (any model for that matter) is most sensitive to input assumptions regarding forward price curves.</w:t>
      </w:r>
    </w:p>
    <w:p>
      <w:pPr>
        <w:pStyle w:val="BodyText"/>
        <w:numPr>
          <w:ilvl w:val="0"/>
          <w:numId w:val="5"/>
        </w:numPr>
        <w:rPr/>
      </w:pPr>
      <w:r>
        <w:rPr/>
        <w:t>The true costs of the DWR contracts have, and continue to be, a significant “unknown,” and could have a substantial effect on the results.  However, in conversations with the Governor’s financial advisors this morning, they said that they are confident that “the numbers in the MOU will hold up.”</w:t>
      </w:r>
    </w:p>
    <w:p>
      <w:pPr>
        <w:pStyle w:val="BodyText"/>
        <w:numPr>
          <w:ilvl w:val="0"/>
          <w:numId w:val="5"/>
        </w:numPr>
        <w:rPr/>
      </w:pPr>
      <w:r>
        <w:rPr/>
        <w:t>Finally, the model does not include the effects of any “haircuts” that creditors may (or may not) agree to take.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00"/>
        </w:tabs>
        <w:ind w:start="1800" w:hanging="360"/>
      </w:pPr>
      <w:rPr>
        <w:rFonts w:ascii="Wingdings" w:hAnsi="Wingdings" w:cs="Wingdings" w:hint="default"/>
      </w:rPr>
    </w:lvl>
  </w:abstractNum>
  <w:abstractNum w:abstractNumId="2">
    <w:lvl w:ilvl="0">
      <w:start w:val="1"/>
      <w:numFmt w:val="decimal"/>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1800"/>
        </w:tabs>
        <w:ind w:start="180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2001-05-23T18:10:00Z</dcterms:created>
  <dc:creator>jdasovic</dc:creator>
  <dc:description/>
  <dc:language>en-CA</dc:language>
  <cp:lastModifiedBy>jdasovic</cp:lastModifiedBy>
  <dcterms:modified xsi:type="dcterms:W3CDTF">2001-05-23T18:10:00Z</dcterms:modified>
  <cp:revision>2</cp:revision>
  <dc:subject/>
  <dc:title>To:</dc:title>
</cp:coreProperties>
</file>