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t>DRAFT -----    DRAFT</w:t>
      </w:r>
    </w:p>
    <w:tbl>
      <w:tblPr>
        <w:tblW w:w="11963" w:type="dxa"/>
        <w:jc w:val="start"/>
        <w:tblInd w:w="200" w:type="dxa"/>
        <w:tblLayout w:type="fixed"/>
        <w:tblCellMar>
          <w:top w:w="0" w:type="dxa"/>
          <w:start w:w="108" w:type="dxa"/>
          <w:bottom w:w="0" w:type="dxa"/>
          <w:end w:w="108" w:type="dxa"/>
        </w:tblCellMar>
      </w:tblPr>
      <w:tblGrid>
        <w:gridCol w:w="708"/>
        <w:gridCol w:w="7120"/>
        <w:gridCol w:w="1080"/>
        <w:gridCol w:w="90"/>
        <w:gridCol w:w="2875"/>
        <w:gridCol w:w="90"/>
      </w:tblGrid>
      <w:tr>
        <w:trPr>
          <w:trHeight w:val="300" w:hRule="exact"/>
        </w:trPr>
        <w:tc>
          <w:tcPr>
            <w:tcW w:w="708" w:type="dxa"/>
            <w:tcBorders/>
          </w:tcPr>
          <w:p>
            <w:pPr>
              <w:pStyle w:val="Normal"/>
              <w:ind w:start="-180" w:end="0"/>
              <w:jc w:val="end"/>
              <w:rPr>
                <w:sz w:val="16"/>
              </w:rPr>
            </w:pPr>
            <w:r>
              <w:rPr>
                <w:sz w:val="16"/>
              </w:rPr>
              <w:t>To:</w:t>
            </w:r>
          </w:p>
        </w:tc>
        <w:tc>
          <w:tcPr>
            <w:tcW w:w="7120" w:type="dxa"/>
            <w:tcBorders/>
          </w:tcPr>
          <w:p>
            <w:pPr>
              <w:pStyle w:val="To"/>
              <w:rPr/>
            </w:pPr>
            <w:r>
              <w:rPr/>
              <w:t>Distribution</w:t>
            </w:r>
          </w:p>
        </w:tc>
        <w:tc>
          <w:tcPr>
            <w:tcW w:w="1170" w:type="dxa"/>
            <w:gridSpan w:val="2"/>
            <w:tcBorders/>
          </w:tcPr>
          <w:p>
            <w:pPr>
              <w:pStyle w:val="Normal"/>
              <w:snapToGrid w:val="false"/>
              <w:ind w:start="-180" w:end="0"/>
              <w:rPr/>
            </w:pPr>
            <w:r>
              <w:rPr/>
            </w:r>
          </w:p>
        </w:tc>
        <w:tc>
          <w:tcPr>
            <w:tcW w:w="2965" w:type="dxa"/>
            <w:gridSpan w:val="2"/>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7120" w:type="dxa"/>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c>
          <w:tcPr>
            <w:tcW w:w="1170" w:type="dxa"/>
            <w:gridSpan w:val="2"/>
            <w:tcBorders/>
          </w:tcPr>
          <w:p>
            <w:pPr>
              <w:pStyle w:val="Normal"/>
              <w:snapToGrid w:val="false"/>
              <w:ind w:start="-180" w:end="0"/>
              <w:rPr>
                <w:sz w:val="18"/>
              </w:rPr>
            </w:pPr>
            <w:r>
              <w:rPr>
                <w:sz w:val="18"/>
              </w:rPr>
            </w:r>
          </w:p>
        </w:tc>
        <w:tc>
          <w:tcPr>
            <w:tcW w:w="2965" w:type="dxa"/>
            <w:gridSpan w:val="2"/>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7120" w:type="dxa"/>
            <w:tcBorders/>
          </w:tcPr>
          <w:p>
            <w:pPr>
              <w:pStyle w:val="From"/>
              <w:rPr/>
            </w:pPr>
            <w:r>
              <w:rPr/>
              <w:t>Brian Redmond</w:t>
            </w:r>
          </w:p>
        </w:tc>
        <w:tc>
          <w:tcPr>
            <w:tcW w:w="1080" w:type="dxa"/>
            <w:tcBorders/>
          </w:tcPr>
          <w:p>
            <w:pPr>
              <w:pStyle w:val="Normal"/>
              <w:rPr>
                <w:sz w:val="16"/>
              </w:rPr>
            </w:pPr>
            <w:r>
              <w:rPr>
                <w:sz w:val="16"/>
              </w:rPr>
              <w:t>Department</w:t>
            </w:r>
          </w:p>
        </w:tc>
        <w:tc>
          <w:tcPr>
            <w:tcW w:w="2965" w:type="dxa"/>
            <w:gridSpan w:val="2"/>
            <w:tcBorders/>
          </w:tcPr>
          <w:p>
            <w:pPr>
              <w:pStyle w:val="Department"/>
              <w:rPr/>
            </w:pPr>
            <w:bookmarkStart w:id="0" w:name="From"/>
            <w:bookmarkEnd w:id="0"/>
            <w:r>
              <w:rPr/>
              <w:t>Technical Services</w:t>
            </w:r>
          </w:p>
        </w:tc>
        <w:tc>
          <w:tcPr>
            <w:tcW w:w="90" w:type="dxa"/>
            <w:tcBorders/>
            <w:tcMar>
              <w:start w:w="0" w:type="dxa"/>
              <w:end w:w="0" w:type="dxa"/>
            </w:tcMar>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7120" w:type="dxa"/>
            <w:tcBorders/>
          </w:tcPr>
          <w:p>
            <w:pPr>
              <w:pStyle w:val="Normal"/>
              <w:snapToGrid w:val="false"/>
              <w:rPr>
                <w:sz w:val="18"/>
              </w:rPr>
            </w:pPr>
            <w:r>
              <w:rPr>
                <w:sz w:val="18"/>
              </w:rPr>
            </w:r>
          </w:p>
        </w:tc>
        <w:tc>
          <w:tcPr>
            <w:tcW w:w="1170" w:type="dxa"/>
            <w:gridSpan w:val="2"/>
            <w:tcBorders/>
          </w:tcPr>
          <w:p>
            <w:pPr>
              <w:pStyle w:val="Normal"/>
              <w:snapToGrid w:val="false"/>
              <w:ind w:start="-180" w:end="0"/>
              <w:rPr>
                <w:sz w:val="18"/>
              </w:rPr>
            </w:pPr>
            <w:r>
              <w:rPr>
                <w:sz w:val="18"/>
              </w:rPr>
            </w:r>
          </w:p>
        </w:tc>
        <w:tc>
          <w:tcPr>
            <w:tcW w:w="2965" w:type="dxa"/>
            <w:gridSpan w:val="2"/>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7120" w:type="dxa"/>
            <w:tcBorders>
              <w:bottom w:val="single" w:sz="12" w:space="0" w:color="000000"/>
            </w:tcBorders>
          </w:tcPr>
          <w:p>
            <w:pPr>
              <w:pStyle w:val="Subject"/>
              <w:rPr/>
            </w:pPr>
            <w:r>
              <w:rPr/>
              <w:t>ENA Tech Services</w:t>
            </w:r>
          </w:p>
        </w:tc>
        <w:tc>
          <w:tcPr>
            <w:tcW w:w="1170" w:type="dxa"/>
            <w:gridSpan w:val="2"/>
            <w:tcBorders>
              <w:bottom w:val="single" w:sz="12" w:space="0" w:color="000000"/>
            </w:tcBorders>
          </w:tcPr>
          <w:p>
            <w:pPr>
              <w:pStyle w:val="Normal"/>
              <w:rPr>
                <w:sz w:val="16"/>
              </w:rPr>
            </w:pPr>
            <w:r>
              <w:rPr>
                <w:sz w:val="16"/>
              </w:rPr>
              <w:t>Date:</w:t>
            </w:r>
          </w:p>
        </w:tc>
        <w:tc>
          <w:tcPr>
            <w:tcW w:w="2965" w:type="dxa"/>
            <w:gridSpan w:val="2"/>
            <w:tcBorders>
              <w:bottom w:val="single" w:sz="12" w:space="0" w:color="000000"/>
            </w:tcBorders>
          </w:tcPr>
          <w:p>
            <w:pPr>
              <w:pStyle w:val="Date"/>
              <w:rPr/>
            </w:pPr>
            <w:r>
              <w:rPr/>
              <w:t>January 12, 2001</w:t>
            </w:r>
          </w:p>
        </w:tc>
      </w:tr>
    </w:tbl>
    <w:p>
      <w:pPr>
        <w:pStyle w:val="Body"/>
        <w:rPr/>
      </w:pPr>
      <w:r>
        <w:rPr/>
      </w:r>
      <w:bookmarkStart w:id="1" w:name="StartOfMemo"/>
      <w:bookmarkStart w:id="2" w:name="StartOfMemo"/>
      <w:bookmarkEnd w:id="2"/>
    </w:p>
    <w:p>
      <w:pPr>
        <w:pStyle w:val="Normal"/>
        <w:spacing w:lineRule="atLeast" w:line="240"/>
        <w:jc w:val="both"/>
        <w:rPr>
          <w:rFonts w:ascii="Helv" w:hAnsi="Helv" w:cs="Helv"/>
          <w:color w:val="000000"/>
          <w:lang w:eastAsia="en-US"/>
        </w:rPr>
      </w:pPr>
      <w:r>
        <w:rPr>
          <w:rFonts w:cs="Helv" w:ascii="Helv" w:hAnsi="Helv"/>
          <w:color w:val="000000"/>
          <w:lang w:eastAsia="en-US"/>
        </w:rPr>
        <w:t>The Technical Services Group (Tech Services) will provide ENA commercial groups with a one-stop shop to assist in the following:</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BodyTextIndent"/>
        <w:jc w:val="both"/>
        <w:rPr/>
      </w:pPr>
      <w:r>
        <w:rPr/>
        <w:t>1.</w:t>
        <w:tab/>
        <w:t>Conducting technical due diligence (greenfield, acquisition, investment or other) to provide input on project feasibility (prior to a DASH).</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BodyTextIndent"/>
        <w:jc w:val="both"/>
        <w:rPr/>
      </w:pPr>
      <w:r>
        <w:rPr/>
        <w:t>2.</w:t>
        <w:tab/>
        <w:t>Developing/validating technical assumptions used in project economics (cost, schedule, performance, etc.) used in the DASH.</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BodyTextIndent"/>
        <w:jc w:val="both"/>
        <w:rPr/>
      </w:pPr>
      <w:r>
        <w:rPr/>
        <w:t>3.</w:t>
        <w:tab/>
        <w:t>Establishing and managing the technical project implementation plan (with EE&amp;CC, NEPCO, and third parties) through either a turnkey structure, cost plus structure or other structure developed in conjunction with your commercial groups.</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BodyTextIndent"/>
        <w:jc w:val="both"/>
        <w:rPr/>
      </w:pPr>
      <w:r>
        <w:rPr/>
        <w:t>4.</w:t>
        <w:tab/>
        <w:t>Ensuring successful technical completion of the project construction, acquisition, or investment so as to meet the terms of the DASH.</w:t>
      </w:r>
    </w:p>
    <w:p>
      <w:pPr>
        <w:pStyle w:val="Normal"/>
        <w:spacing w:lineRule="atLeast" w:line="240"/>
        <w:jc w:val="both"/>
        <w:rPr>
          <w:rFonts w:ascii="Helv" w:hAnsi="Helv" w:cs="Helv"/>
          <w:color w:val="000000"/>
          <w:lang w:eastAsia="en-US"/>
        </w:rPr>
      </w:pPr>
      <w:r>
        <w:rPr>
          <w:rFonts w:cs="Helv" w:ascii="Helv" w:hAnsi="Helv"/>
          <w:color w:val="000000"/>
          <w:lang w:eastAsia="en-US"/>
        </w:rPr>
      </w:r>
    </w:p>
    <w:p>
      <w:pPr>
        <w:pStyle w:val="BodyTextIndent"/>
        <w:numPr>
          <w:ilvl w:val="0"/>
          <w:numId w:val="4"/>
        </w:numPr>
        <w:jc w:val="both"/>
        <w:rPr/>
      </w:pPr>
      <w:r>
        <w:rPr/>
        <w:t>Ensuring ongoing operational risk is managed and mitigated and operating costs are in line with DASH economics.</w:t>
      </w:r>
    </w:p>
    <w:p>
      <w:pPr>
        <w:pStyle w:val="BodyTextIndent"/>
        <w:ind w:hanging="0" w:start="0" w:end="0"/>
        <w:jc w:val="both"/>
        <w:rPr/>
      </w:pPr>
      <w:r>
        <w:rPr/>
      </w:r>
    </w:p>
    <w:p>
      <w:pPr>
        <w:pStyle w:val="BodyTextIndent"/>
        <w:ind w:hanging="0" w:start="0" w:end="0"/>
        <w:jc w:val="both"/>
        <w:rPr/>
      </w:pPr>
      <w:r>
        <w:rPr/>
        <w:t xml:space="preserve">The core Tech Services group is comprised of approximately 25 individuals with knowledge and experience in the areas of power generation, power transmission, and gas infrastructure with specific expertise in engineering, project management, construction, operation, and maintenance activities.  Reservoir engineering services will be provided by Enron Capital Resources in coordination with Tech Services.  </w:t>
      </w:r>
    </w:p>
    <w:p>
      <w:pPr>
        <w:pStyle w:val="BodyTextIndent"/>
        <w:ind w:hanging="0" w:start="0" w:end="0"/>
        <w:jc w:val="both"/>
        <w:rPr/>
      </w:pPr>
      <w:r>
        <w:rPr/>
      </w:r>
    </w:p>
    <w:p>
      <w:pPr>
        <w:pStyle w:val="BodyTextIndent"/>
        <w:ind w:hanging="0" w:start="0" w:end="0"/>
        <w:jc w:val="both"/>
        <w:rPr/>
      </w:pPr>
      <w:r>
        <w:rPr/>
        <w:t xml:space="preserve">The cost of the core Tech Services group will borne at the ENA company level and will not be allocated to individual commercial groups.  Tech Services will perform the role of development engineer during the pre-construction phase and owner’s engineer during the construction phase.  The cost of additional technical resources (beyond the cost of the Tech Services group) will be pre-agreed with the commercial deal lead before they are incurred and charged to a specific project or group.  </w:t>
      </w:r>
    </w:p>
    <w:p>
      <w:pPr>
        <w:pStyle w:val="BodyTextIndent"/>
        <w:ind w:hanging="0" w:start="0" w:end="0"/>
        <w:jc w:val="both"/>
        <w:rPr/>
      </w:pPr>
      <w:r>
        <w:rPr/>
      </w:r>
    </w:p>
    <w:p>
      <w:pPr>
        <w:pStyle w:val="BodyTextIndent"/>
        <w:ind w:hanging="0" w:start="0" w:end="0"/>
        <w:jc w:val="both"/>
        <w:rPr/>
      </w:pPr>
      <w:r>
        <w:rPr/>
        <w:t>The Tech Services group will support the commercial deal lead in developing the scope of work and contractual arrangements by which EE&amp;CC (EES), ETS (GPG), third party engineering firms, and other service providers are hired and used.  ENA is not obligated to use EE&amp;CC or NEPCO, but we will use every effort to develop a mutually satisfactory working relationship that leverages the talents of both organizations.   As an example, the Tech Services group will have accountability to structure and manage the use of EE&amp;CC engineering and project management resources and NEPCO turnkey construction resources as projects dictate.</w:t>
      </w:r>
    </w:p>
    <w:p>
      <w:pPr>
        <w:pStyle w:val="BodyTextIndent"/>
        <w:ind w:hanging="0" w:start="0" w:end="0"/>
        <w:jc w:val="both"/>
        <w:rPr/>
      </w:pPr>
      <w:r>
        <w:rPr/>
      </w:r>
    </w:p>
    <w:p>
      <w:pPr>
        <w:pStyle w:val="BodyTextIndent"/>
        <w:ind w:hanging="0" w:start="0" w:end="0"/>
        <w:jc w:val="both"/>
        <w:rPr/>
      </w:pPr>
      <w:r>
        <w:rPr/>
        <w:t>The following guidelines are established to align the objectives of Tech Services with the various commercial groups, and to insure a high level of service is provided to each deal team:</w:t>
      </w:r>
    </w:p>
    <w:p>
      <w:pPr>
        <w:pStyle w:val="BodyTextIndent"/>
        <w:ind w:hanging="0" w:start="0" w:end="0"/>
        <w:jc w:val="both"/>
        <w:rPr/>
      </w:pPr>
      <w:r>
        <w:rPr/>
      </w:r>
    </w:p>
    <w:p>
      <w:pPr>
        <w:pStyle w:val="BodyTextIndent"/>
        <w:numPr>
          <w:ilvl w:val="0"/>
          <w:numId w:val="2"/>
        </w:numPr>
        <w:jc w:val="both"/>
        <w:rPr/>
      </w:pPr>
      <w:r>
        <w:rPr/>
        <w:t>Technical P/L risk will remain with the ENA commercial groups unless the commercial deal lead and Tech Services agree to lay off certain risks (e.g., construction, operation, performance risk) to third party services providers (e.g., NEPCO or outside contractors) under a arms length contract structure.</w:t>
      </w:r>
    </w:p>
    <w:p>
      <w:pPr>
        <w:pStyle w:val="BodyTextIndent"/>
        <w:jc w:val="both"/>
        <w:rPr/>
      </w:pPr>
      <w:r>
        <w:rPr/>
      </w:r>
    </w:p>
    <w:p>
      <w:pPr>
        <w:pStyle w:val="BodyTextIndent"/>
        <w:numPr>
          <w:ilvl w:val="0"/>
          <w:numId w:val="2"/>
        </w:numPr>
        <w:jc w:val="both"/>
        <w:rPr/>
      </w:pPr>
      <w:r>
        <w:rPr/>
        <w:t>Each of the Tech Services team is available to support each of the commercial groups as the need arises and as priorities dictate.   A Technical Lead has been designated as the chief contact point for each origination group, to ensure technical issues are identified and managed and resources are allocated properly.  These assignments are as follows:</w:t>
      </w:r>
    </w:p>
    <w:p>
      <w:pPr>
        <w:pStyle w:val="BodyTextIndent"/>
        <w:tabs>
          <w:tab w:val="clear" w:pos="540"/>
        </w:tabs>
        <w:ind w:hanging="0" w:start="0" w:end="0"/>
        <w:jc w:val="both"/>
        <w:rPr/>
      </w:pPr>
      <w:r>
        <w:rPr/>
      </w:r>
    </w:p>
    <w:p>
      <w:pPr>
        <w:pStyle w:val="BodyTextIndent"/>
        <w:numPr>
          <w:ilvl w:val="0"/>
          <w:numId w:val="3"/>
        </w:numPr>
        <w:tabs>
          <w:tab w:val="clear" w:pos="540"/>
          <w:tab w:val="left" w:pos="1296" w:leader="none"/>
        </w:tabs>
        <w:ind w:hanging="720" w:start="1296" w:end="0"/>
        <w:jc w:val="both"/>
        <w:rPr/>
      </w:pPr>
      <w:r>
        <w:rPr/>
        <w:t>East Power:</w:t>
        <w:tab/>
        <w:tab/>
        <w:tab/>
        <w:t>B. Virgo</w:t>
        <w:tab/>
        <w:tab/>
        <w:tab/>
        <w:t>-</w:t>
        <w:tab/>
        <w:t>Mexico:</w:t>
        <w:tab/>
        <w:t>B. Virgo</w:t>
      </w:r>
    </w:p>
    <w:p>
      <w:pPr>
        <w:pStyle w:val="BodyTextIndent"/>
        <w:numPr>
          <w:ilvl w:val="0"/>
          <w:numId w:val="3"/>
        </w:numPr>
        <w:tabs>
          <w:tab w:val="clear" w:pos="540"/>
          <w:tab w:val="left" w:pos="1296" w:leader="none"/>
        </w:tabs>
        <w:ind w:hanging="720" w:start="1296" w:end="0"/>
        <w:jc w:val="both"/>
        <w:rPr/>
      </w:pPr>
      <w:r>
        <w:rPr/>
        <w:t>West Power:</w:t>
        <w:tab/>
        <w:tab/>
        <w:tab/>
        <w:t>W. Mays</w:t>
        <w:tab/>
        <w:tab/>
        <w:tab/>
        <w:t>-</w:t>
        <w:tab/>
        <w:t>Canada:</w:t>
        <w:tab/>
        <w:t>W. Mays</w:t>
      </w:r>
    </w:p>
    <w:p>
      <w:pPr>
        <w:pStyle w:val="BodyTextIndent"/>
        <w:numPr>
          <w:ilvl w:val="0"/>
          <w:numId w:val="3"/>
        </w:numPr>
        <w:tabs>
          <w:tab w:val="clear" w:pos="540"/>
          <w:tab w:val="left" w:pos="1296" w:leader="none"/>
        </w:tabs>
        <w:ind w:hanging="720" w:start="1296" w:end="0"/>
        <w:jc w:val="both"/>
        <w:rPr/>
      </w:pPr>
      <w:r>
        <w:rPr/>
        <w:t>Gas:</w:t>
        <w:tab/>
        <w:tab/>
        <w:tab/>
        <w:tab/>
        <w:t>N. Cocavessis</w:t>
        <w:tab/>
        <w:tab/>
        <w:t>-</w:t>
        <w:tab/>
        <w:t>Gen/QF:</w:t>
        <w:tab/>
        <w:t>B. Virgo</w:t>
        <w:tab/>
      </w:r>
    </w:p>
    <w:p>
      <w:pPr>
        <w:pStyle w:val="BodyTextIndent"/>
        <w:numPr>
          <w:ilvl w:val="0"/>
          <w:numId w:val="3"/>
        </w:numPr>
        <w:tabs>
          <w:tab w:val="clear" w:pos="540"/>
          <w:tab w:val="left" w:pos="1296" w:leader="none"/>
        </w:tabs>
        <w:ind w:hanging="720" w:start="1296" w:end="0"/>
        <w:jc w:val="both"/>
        <w:rPr/>
      </w:pPr>
      <w:r>
        <w:rPr/>
        <w:t>Principal Investments:</w:t>
        <w:tab/>
        <w:t>B. Virgo</w:t>
      </w:r>
    </w:p>
    <w:p>
      <w:pPr>
        <w:pStyle w:val="BodyTextIndent"/>
        <w:tabs>
          <w:tab w:val="clear" w:pos="540"/>
        </w:tabs>
        <w:ind w:hanging="0" w:start="0" w:end="0"/>
        <w:jc w:val="both"/>
        <w:rPr/>
      </w:pPr>
      <w:r>
        <w:rPr/>
      </w:r>
    </w:p>
    <w:p>
      <w:pPr>
        <w:pStyle w:val="BodyTextIndent"/>
        <w:numPr>
          <w:ilvl w:val="0"/>
          <w:numId w:val="2"/>
        </w:numPr>
        <w:jc w:val="both"/>
        <w:rPr/>
      </w:pPr>
      <w:r>
        <w:rPr/>
        <w:t>Tech Services will be added as a signatory to the DASH so as to signify sign-off on the technical assumptions contained in the DASH such as cost, schedule, performance, operations, etc.</w:t>
      </w:r>
    </w:p>
    <w:p>
      <w:pPr>
        <w:pStyle w:val="BodyTextIndent"/>
        <w:jc w:val="both"/>
        <w:rPr/>
      </w:pPr>
      <w:r>
        <w:rPr/>
      </w:r>
    </w:p>
    <w:p>
      <w:pPr>
        <w:pStyle w:val="BodyTextIndent"/>
        <w:numPr>
          <w:ilvl w:val="0"/>
          <w:numId w:val="2"/>
        </w:numPr>
        <w:jc w:val="both"/>
        <w:rPr/>
      </w:pPr>
      <w:r>
        <w:rPr/>
        <w:t>Tech Services will support the commercial deal leads by being the point of contact with EE&amp;CC and third party service providers to ensure that resources are coordinated and costs and properly controlled.</w:t>
      </w:r>
    </w:p>
    <w:p>
      <w:pPr>
        <w:pStyle w:val="BodyTextIndent"/>
        <w:tabs>
          <w:tab w:val="clear" w:pos="540"/>
        </w:tabs>
        <w:ind w:hanging="0" w:start="0" w:end="0"/>
        <w:jc w:val="both"/>
        <w:rPr/>
      </w:pPr>
      <w:r>
        <w:rPr/>
      </w:r>
    </w:p>
    <w:p>
      <w:pPr>
        <w:pStyle w:val="BodyTextIndent"/>
        <w:numPr>
          <w:ilvl w:val="0"/>
          <w:numId w:val="2"/>
        </w:numPr>
        <w:jc w:val="both"/>
        <w:rPr/>
      </w:pPr>
      <w:r>
        <w:rPr/>
        <w:t>Tech Services will establish periodic deal reviews meeting with each of the commercial groups as a forum to ensure sufficient resources are being applied, discuss deal status, and develop strategies for mitigating and managing technical risk.</w:t>
      </w:r>
    </w:p>
    <w:p>
      <w:pPr>
        <w:pStyle w:val="BodyTextIndent"/>
        <w:tabs>
          <w:tab w:val="clear" w:pos="540"/>
        </w:tabs>
        <w:ind w:hanging="0" w:start="0" w:end="0"/>
        <w:jc w:val="both"/>
        <w:rPr/>
      </w:pPr>
      <w:r>
        <w:rPr/>
      </w:r>
    </w:p>
    <w:p>
      <w:pPr>
        <w:pStyle w:val="BodyTextIndent"/>
        <w:tabs>
          <w:tab w:val="clear" w:pos="540"/>
        </w:tabs>
        <w:ind w:hanging="0" w:start="0" w:end="0"/>
        <w:jc w:val="both"/>
        <w:rPr/>
      </w:pPr>
      <w:r>
        <w:rPr/>
        <w:t>Please provide any feedback on the above to me or the Tech Services lead contact supporting your commercial area.</w:t>
      </w:r>
    </w:p>
    <w:p>
      <w:pPr>
        <w:pStyle w:val="Body"/>
        <w:jc w:val="both"/>
        <w:rPr/>
      </w:pPr>
      <w:r>
        <w:rPr/>
      </w:r>
    </w:p>
    <w:p>
      <w:pPr>
        <w:pStyle w:val="Body"/>
        <w:jc w:val="both"/>
        <w:rPr/>
      </w:pPr>
      <w:r>
        <w:rPr/>
      </w:r>
    </w:p>
    <w:p>
      <w:pPr>
        <w:pStyle w:val="Body"/>
        <w:jc w:val="both"/>
        <w:rPr/>
      </w:pPr>
      <w:r>
        <w:rPr/>
      </w:r>
    </w:p>
    <w:p>
      <w:pPr>
        <w:pStyle w:val="CopyList"/>
        <w:jc w:val="both"/>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
        </w:tabs>
        <w:ind w:start="540" w:hanging="540"/>
      </w:pPr>
      <w:rPr/>
    </w:lvl>
  </w:abstractNum>
  <w:abstractNum w:abstractNumId="3">
    <w:lvl w:ilvl="0">
      <w:start w:val="1"/>
      <w:numFmt w:val="bullet"/>
      <w:lvlText w:val="-"/>
      <w:lvlJc w:val="start"/>
      <w:pPr>
        <w:tabs>
          <w:tab w:val="num" w:pos="1440"/>
        </w:tabs>
        <w:ind w:start="1440" w:hanging="720"/>
      </w:pPr>
      <w:rPr>
        <w:rFonts w:ascii="Liberation Serif" w:hAnsi="Liberation Serif" w:cs="Liberation Serif" w:hint="default"/>
      </w:rPr>
    </w:lvl>
  </w:abstractNum>
  <w:abstractNum w:abstractNumId="4">
    <w:lvl w:ilvl="0">
      <w:start w:val="5"/>
      <w:numFmt w:val="decimal"/>
      <w:lvlText w:val="%1."/>
      <w:lvlJc w:val="start"/>
      <w:pPr>
        <w:tabs>
          <w:tab w:val="num" w:pos="540"/>
        </w:tabs>
        <w:ind w:start="540" w:hanging="5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540" w:start="540" w:end="0"/>
    </w:pPr>
    <w:rPr>
      <w:rFonts w:ascii="Helv" w:hAnsi="Helv" w:cs="Helv"/>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2001-01-12T13:29:00Z</dcterms:created>
  <dc:creator>Jeff Ford</dc:creator>
  <dc:description/>
  <dc:language>en-CA</dc:language>
  <cp:lastModifiedBy>bredmon</cp:lastModifiedBy>
  <cp:lastPrinted>2001-01-10T15:54:00Z</cp:lastPrinted>
  <dcterms:modified xsi:type="dcterms:W3CDTF">2001-01-12T13:30:00Z</dcterms:modified>
  <cp:revision>3</cp:revision>
  <dc:subject/>
  <dc:title>Eron Capital &amp; Trade Resources Memo</dc:title>
</cp:coreProperties>
</file>