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Gas Supply Term Sheet</w:t>
      </w:r>
    </w:p>
    <w:p>
      <w:pPr>
        <w:pStyle w:val="Heading1"/>
        <w:ind w:hanging="360" w:start="360" w:end="0"/>
        <w:rPr/>
      </w:pPr>
      <w:r>
        <w:rPr/>
        <w:t>I.</w:t>
        <w:tab/>
        <w:t>Term:</w:t>
        <w:tab/>
        <w:t xml:space="preserve">Two - Three Years  </w:t>
      </w:r>
    </w:p>
    <w:p>
      <w:pPr>
        <w:pStyle w:val="Normal"/>
        <w:rPr/>
      </w:pPr>
      <w:r>
        <w:rPr/>
      </w:r>
    </w:p>
    <w:p>
      <w:pPr>
        <w:pStyle w:val="Heading1"/>
        <w:numPr>
          <w:ilvl w:val="0"/>
          <w:numId w:val="4"/>
        </w:numPr>
        <w:tabs>
          <w:tab w:val="clear" w:pos="720"/>
          <w:tab w:val="left" w:pos="360" w:leader="none"/>
        </w:tabs>
        <w:rPr/>
      </w:pPr>
      <w:r>
        <w:rPr/>
        <w:t>El Paso Capacity</w:t>
      </w:r>
    </w:p>
    <w:p>
      <w:pPr>
        <w:pStyle w:val="Heading1"/>
        <w:ind w:hanging="0" w:start="0"/>
        <w:rPr>
          <w:b w:val="false"/>
        </w:rPr>
      </w:pPr>
      <w:r>
        <w:rPr>
          <w:b w:val="false"/>
        </w:rPr>
        <w:tab/>
      </w:r>
    </w:p>
    <w:p>
      <w:pPr>
        <w:pStyle w:val="Normal"/>
        <w:numPr>
          <w:ilvl w:val="0"/>
          <w:numId w:val="7"/>
        </w:numPr>
        <w:tabs>
          <w:tab w:val="clear" w:pos="720"/>
          <w:tab w:val="left" w:pos="360" w:leader="none"/>
          <w:tab w:val="left" w:pos="1080" w:leader="none"/>
        </w:tabs>
        <w:spacing w:before="0" w:after="120"/>
        <w:ind w:hanging="360" w:start="1080" w:end="14"/>
        <w:rPr/>
      </w:pPr>
      <w:r>
        <w:rPr/>
        <w:t>Seller shall act as Buyer’s agent under Buyer’s transportation contract with El Paso Natural Gas Company per the Agency Agreement between Buyer and Seller dated October 1, 1998, and any scheduling penalties shall be the responsibility of Seller.</w:t>
      </w:r>
    </w:p>
    <w:p>
      <w:pPr>
        <w:pStyle w:val="Normal"/>
        <w:numPr>
          <w:ilvl w:val="0"/>
          <w:numId w:val="7"/>
        </w:numPr>
        <w:tabs>
          <w:tab w:val="clear" w:pos="720"/>
          <w:tab w:val="left" w:pos="360" w:leader="none"/>
          <w:tab w:val="left" w:pos="1080" w:leader="none"/>
        </w:tabs>
        <w:spacing w:before="0" w:after="120"/>
        <w:ind w:hanging="360" w:start="1080" w:end="14"/>
        <w:rPr/>
      </w:pPr>
      <w:r>
        <w:rPr/>
        <w:t xml:space="preserve">Seller purchases El Paso capacity at an amount equal to the difference between the Southern Cal Border Avg. index price published in </w:t>
      </w:r>
      <w:r>
        <w:rPr>
          <w:u w:val="single"/>
        </w:rPr>
        <w:t>Natural Gas Intelligence</w:t>
      </w:r>
      <w:r>
        <w:rPr/>
        <w:t xml:space="preserve"> Gas Price Index, in the first issue of the delivery Month, and the index price published </w:t>
      </w:r>
      <w:r>
        <w:rPr>
          <w:u w:val="single"/>
        </w:rPr>
        <w:t>in Inside F.E.R.C.’s Gas Market Report</w:t>
      </w:r>
      <w:r>
        <w:rPr/>
        <w:t xml:space="preserve"> for EPNG-San Juan Basin, less applicable variable transportation charges on EPNG to transport Gas from the San Juan basin to the Southern California Border, less $0.015, subject to a 70% monthly minimum usage obligation.</w:t>
      </w:r>
    </w:p>
    <w:p>
      <w:pPr>
        <w:pStyle w:val="Normal"/>
        <w:numPr>
          <w:ilvl w:val="0"/>
          <w:numId w:val="7"/>
        </w:numPr>
        <w:tabs>
          <w:tab w:val="clear" w:pos="720"/>
          <w:tab w:val="left" w:pos="360" w:leader="none"/>
          <w:tab w:val="left" w:pos="1080" w:leader="none"/>
        </w:tabs>
        <w:spacing w:before="0" w:after="120"/>
        <w:ind w:hanging="360" w:start="1080" w:end="14"/>
        <w:rPr/>
      </w:pPr>
      <w:r>
        <w:rPr/>
        <w:t>Buyer has the option at any time during the term of the Agreement, upon 30 days notice, to sell the El Paso capacity to a party other than ENA.</w:t>
      </w:r>
    </w:p>
    <w:p>
      <w:pPr>
        <w:pStyle w:val="Heading2"/>
        <w:rPr/>
      </w:pPr>
      <w:r>
        <w:rPr/>
        <w:t>III.</w:t>
        <w:tab/>
        <w:t>Canadian/Engage Supply</w:t>
      </w:r>
    </w:p>
    <w:p>
      <w:pPr>
        <w:pStyle w:val="Normal"/>
        <w:numPr>
          <w:ilvl w:val="0"/>
          <w:numId w:val="2"/>
        </w:numPr>
        <w:tabs>
          <w:tab w:val="left" w:pos="720" w:leader="none"/>
          <w:tab w:val="left" w:pos="1008" w:leader="none"/>
        </w:tabs>
        <w:spacing w:before="0" w:after="120"/>
        <w:ind w:hanging="360" w:start="1008" w:end="14"/>
        <w:jc w:val="both"/>
        <w:rPr/>
      </w:pPr>
      <w:r>
        <w:rPr/>
        <w:t>Engage Energy Supply (“</w:t>
      </w:r>
      <w:r>
        <w:rPr>
          <w:u w:val="single"/>
        </w:rPr>
        <w:t>Engage Supply</w:t>
      </w:r>
      <w:r>
        <w:rPr/>
        <w:t>”) quantity is 4,033 MMBtus/Day at KRS</w:t>
      </w:r>
    </w:p>
    <w:p>
      <w:pPr>
        <w:pStyle w:val="Normal"/>
        <w:numPr>
          <w:ilvl w:val="0"/>
          <w:numId w:val="2"/>
        </w:numPr>
        <w:tabs>
          <w:tab w:val="left" w:pos="720" w:leader="none"/>
          <w:tab w:val="left" w:pos="1008" w:leader="none"/>
        </w:tabs>
        <w:spacing w:before="0" w:after="120"/>
        <w:ind w:hanging="360" w:start="1008" w:end="14"/>
        <w:jc w:val="both"/>
        <w:rPr/>
      </w:pPr>
      <w:r>
        <w:rPr/>
        <w:t>Seller shall act as Buyer’s agent under Buyer’s transportation contract with Pacific Gas Transmission (“</w:t>
      </w:r>
      <w:r>
        <w:rPr>
          <w:u w:val="single"/>
        </w:rPr>
        <w:t>PGT</w:t>
      </w:r>
      <w:r>
        <w:rPr/>
        <w:t>”) and any Scheduling Penalties shall be the responsibility of Seller.</w:t>
      </w:r>
    </w:p>
    <w:p>
      <w:pPr>
        <w:pStyle w:val="Normal"/>
        <w:numPr>
          <w:ilvl w:val="0"/>
          <w:numId w:val="2"/>
        </w:numPr>
        <w:tabs>
          <w:tab w:val="left" w:pos="720" w:leader="none"/>
          <w:tab w:val="left" w:pos="1008" w:leader="none"/>
        </w:tabs>
        <w:spacing w:before="0" w:after="120"/>
        <w:ind w:hanging="360" w:start="1008" w:end="14"/>
        <w:jc w:val="both"/>
        <w:rPr/>
      </w:pPr>
      <w:r>
        <w:rPr/>
        <w:t>Seller shall act as Buyer’s agent under Buyer’s intrastate transportation contract with Pacific Gas &amp; Electric (“</w:t>
      </w:r>
      <w:r>
        <w:rPr>
          <w:u w:val="single"/>
        </w:rPr>
        <w:t>PG&amp;E</w:t>
      </w:r>
      <w:r>
        <w:rPr/>
        <w:t>”) and any Scheduling Penalties shall be the responsibility of Seller.</w:t>
      </w:r>
    </w:p>
    <w:p>
      <w:pPr>
        <w:pStyle w:val="Normal"/>
        <w:numPr>
          <w:ilvl w:val="0"/>
          <w:numId w:val="2"/>
        </w:numPr>
        <w:tabs>
          <w:tab w:val="left" w:pos="720" w:leader="none"/>
          <w:tab w:val="left" w:pos="1008" w:leader="none"/>
        </w:tabs>
        <w:spacing w:before="0" w:after="120"/>
        <w:ind w:hanging="360" w:start="1008" w:end="14"/>
        <w:jc w:val="both"/>
        <w:rPr/>
      </w:pPr>
      <w:r>
        <w:rPr/>
        <w:t xml:space="preserve">Each Month, Seller purchases Buyer’s Engage Supply at </w:t>
      </w:r>
      <w:r>
        <w:rPr>
          <w:u w:val="single"/>
        </w:rPr>
        <w:t>Natural Gas Intelligence Gas Price Index</w:t>
      </w:r>
      <w:r>
        <w:rPr/>
        <w:t>, in the first issue of the delivery Month, less $.015/MMBtu.  In addition, Seller will use its reasonable efforts to optimize the value of the Engage Supply.  Such optimization will be in the form of marketing the Engage Supply into markets at or upstream of PG&amp;E’s interconnection with PGT at Malin, or (“</w:t>
      </w:r>
      <w:r>
        <w:rPr>
          <w:u w:val="single"/>
        </w:rPr>
        <w:t>Upstream Markets</w:t>
      </w:r>
      <w:r>
        <w:rPr/>
        <w:t xml:space="preserve">”) when prices in those markets are higher than the cost of gas at the Southern California border.  For every day such supply is sold upstream of Kern River Station, Seller shall pay Buyer an amount equal to 50% of the difference between the </w:t>
      </w:r>
      <w:r>
        <w:rPr>
          <w:u w:val="single"/>
        </w:rPr>
        <w:t>Gas Daily</w:t>
      </w:r>
      <w:r>
        <w:rPr/>
        <w:t xml:space="preserve"> index at Malin, OR and the </w:t>
      </w:r>
      <w:r>
        <w:rPr>
          <w:u w:val="single"/>
        </w:rPr>
        <w:t>Gas Daily</w:t>
      </w:r>
      <w:r>
        <w:rPr/>
        <w:t xml:space="preserve"> index for SoCalGas, times the amount sold.   </w:t>
      </w:r>
    </w:p>
    <w:p>
      <w:pPr>
        <w:pStyle w:val="Normal"/>
        <w:numPr>
          <w:ilvl w:val="0"/>
          <w:numId w:val="2"/>
        </w:numPr>
        <w:tabs>
          <w:tab w:val="left" w:pos="720" w:leader="none"/>
          <w:tab w:val="left" w:pos="1008" w:leader="none"/>
        </w:tabs>
        <w:spacing w:before="0" w:after="120"/>
        <w:ind w:hanging="360" w:start="1008" w:end="14"/>
        <w:jc w:val="both"/>
        <w:rPr/>
      </w:pPr>
      <w:r>
        <w:rPr/>
        <w:t>Buyer has the option at any time during the term of the Agreement, upon 30 days notice, to sell the Canadian/Engage supply to a party other than ENA.</w:t>
      </w:r>
    </w:p>
    <w:p>
      <w:pPr>
        <w:pStyle w:val="Heading5"/>
        <w:rPr/>
      </w:pPr>
      <w:r>
        <w:rPr/>
        <w:t>IV.</w:t>
        <w:tab/>
        <w:t>APEA Supply</w:t>
      </w:r>
    </w:p>
    <w:p>
      <w:pPr>
        <w:pStyle w:val="Normal"/>
        <w:numPr>
          <w:ilvl w:val="0"/>
          <w:numId w:val="3"/>
        </w:numPr>
        <w:tabs>
          <w:tab w:val="clear" w:pos="720"/>
          <w:tab w:val="left" w:pos="1080" w:leader="none"/>
        </w:tabs>
        <w:spacing w:before="0" w:after="120"/>
        <w:ind w:hanging="360" w:start="1080" w:end="14"/>
        <w:jc w:val="both"/>
        <w:rPr/>
      </w:pPr>
      <w:r>
        <w:rPr/>
        <w:t xml:space="preserve">ENA manages the delivery of 3,000 MMBtu/d of gas purchased by Pasadena from American Public Energy Agency (APEA).  </w:t>
      </w:r>
    </w:p>
    <w:p>
      <w:pPr>
        <w:pStyle w:val="Normal"/>
        <w:numPr>
          <w:ilvl w:val="0"/>
          <w:numId w:val="3"/>
        </w:numPr>
        <w:tabs>
          <w:tab w:val="clear" w:pos="720"/>
          <w:tab w:val="left" w:pos="1080" w:leader="none"/>
        </w:tabs>
        <w:spacing w:before="0" w:after="120"/>
        <w:ind w:hanging="360" w:start="1080" w:end="14"/>
        <w:jc w:val="both"/>
        <w:rPr/>
      </w:pPr>
      <w:r>
        <w:rPr/>
        <w:t>Pasadena can sell this gas to counterparties other than ENA.  In these cases, EPMI will schedule such gas to the alternative counterparty.  In the event such sales are made by Buyer, Seller shall retain the flexibility in delivering the APEA supply pursuant to item C. below.</w:t>
      </w:r>
    </w:p>
    <w:p>
      <w:pPr>
        <w:pStyle w:val="Normal"/>
        <w:numPr>
          <w:ilvl w:val="0"/>
          <w:numId w:val="3"/>
        </w:numPr>
        <w:tabs>
          <w:tab w:val="clear" w:pos="720"/>
          <w:tab w:val="left" w:pos="1080" w:leader="none"/>
        </w:tabs>
        <w:spacing w:before="0" w:after="120"/>
        <w:ind w:hanging="360" w:start="1080" w:end="14"/>
        <w:jc w:val="both"/>
        <w:rPr/>
      </w:pPr>
      <w:r>
        <w:rPr/>
        <w:t xml:space="preserve">ENA will take the risk of SoCalGas window cuts in return for the right to meet its obligation through imbalance trading (provided that SoCalGas balancing rules permit it – i.e. imbalance trading would not be permitted during OFOs and, during the winter, deliveries must meet the minimums set by SoCalGas balancing rules) and/or with gas delivered into SoCalGas at Kern River Station.    </w:t>
      </w:r>
    </w:p>
    <w:p>
      <w:pPr>
        <w:pStyle w:val="Heading4"/>
        <w:rPr/>
      </w:pPr>
      <w:r>
        <w:rPr/>
        <w:t>V.</w:t>
        <w:tab/>
        <w:t>Pasadena Usage</w:t>
      </w:r>
    </w:p>
    <w:p>
      <w:pPr>
        <w:pStyle w:val="ListBullet2"/>
        <w:numPr>
          <w:ilvl w:val="0"/>
          <w:numId w:val="6"/>
        </w:numPr>
        <w:tabs>
          <w:tab w:val="clear" w:pos="720"/>
          <w:tab w:val="left" w:pos="1080" w:leader="none"/>
        </w:tabs>
        <w:ind w:hanging="360" w:start="1080" w:end="0"/>
        <w:rPr>
          <w:sz w:val="20"/>
        </w:rPr>
      </w:pPr>
      <w:r>
        <w:rPr>
          <w:sz w:val="20"/>
        </w:rPr>
        <w:t xml:space="preserve">The Delivery Point for Gas shall be the interconnection between the Southern California Gas Company (SoCalGas) system and any of the following pipelines: El Paso, Transwestern, Pacific Gas &amp; Electric (PG&amp;E), Kern River and/or California produced supply or SoCalGas storage.  </w:t>
      </w:r>
    </w:p>
    <w:p>
      <w:pPr>
        <w:pStyle w:val="ListBullet2"/>
        <w:ind w:hanging="0" w:start="360" w:end="0"/>
        <w:rPr>
          <w:sz w:val="20"/>
        </w:rPr>
      </w:pPr>
      <w:r>
        <w:rPr>
          <w:sz w:val="20"/>
        </w:rPr>
      </w:r>
    </w:p>
    <w:p>
      <w:pPr>
        <w:pStyle w:val="ListBullet2"/>
        <w:numPr>
          <w:ilvl w:val="0"/>
          <w:numId w:val="6"/>
        </w:numPr>
        <w:tabs>
          <w:tab w:val="clear" w:pos="720"/>
          <w:tab w:val="left" w:pos="1080" w:leader="none"/>
        </w:tabs>
        <w:ind w:hanging="360" w:start="1080" w:end="0"/>
        <w:rPr>
          <w:sz w:val="20"/>
        </w:rPr>
      </w:pPr>
      <w:r>
        <w:rPr>
          <w:sz w:val="20"/>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ListBullet2"/>
        <w:ind w:hanging="0" w:start="0" w:end="0"/>
        <w:rPr>
          <w:sz w:val="20"/>
        </w:rPr>
      </w:pPr>
      <w:r>
        <w:rPr>
          <w:sz w:val="20"/>
        </w:rPr>
      </w:r>
    </w:p>
    <w:p>
      <w:pPr>
        <w:pStyle w:val="ListBullet2"/>
        <w:numPr>
          <w:ilvl w:val="0"/>
          <w:numId w:val="6"/>
        </w:numPr>
        <w:rPr>
          <w:sz w:val="20"/>
        </w:rPr>
      </w:pPr>
      <w:r>
        <w:rPr>
          <w:sz w:val="20"/>
        </w:rPr>
        <w:t>Buyer shall pay for the amount of gas transported by Buyer on the Southern California Gas Company (SoCalGas) system as documented by Buyer’s SoCalGas transportation invoice.</w:t>
      </w:r>
    </w:p>
    <w:p>
      <w:pPr>
        <w:pStyle w:val="ListBullet2"/>
        <w:ind w:hanging="0" w:start="0" w:end="0"/>
        <w:rPr>
          <w:sz w:val="20"/>
        </w:rPr>
      </w:pPr>
      <w:r>
        <w:rPr>
          <w:sz w:val="20"/>
        </w:rPr>
      </w:r>
    </w:p>
    <w:p>
      <w:pPr>
        <w:pStyle w:val="ListBullet2"/>
        <w:numPr>
          <w:ilvl w:val="0"/>
          <w:numId w:val="6"/>
        </w:numPr>
        <w:rPr>
          <w:sz w:val="20"/>
        </w:rPr>
      </w:pPr>
      <w:r>
        <w:rPr>
          <w:sz w:val="20"/>
        </w:rPr>
        <w:t>At least three days prior to the last trading Day of that month’s NYMEX futures contract, Buyer shall notify Seller of the Baseload Daily Quantity (BDQ) for the next Month.  The BDQ shall be the daily quantity Buyer wants to purchase from Seller each Day during the Delivery Month.</w:t>
      </w:r>
    </w:p>
    <w:p>
      <w:pPr>
        <w:pStyle w:val="ListBullet2"/>
        <w:ind w:hanging="0" w:start="0" w:end="0"/>
        <w:rPr>
          <w:sz w:val="20"/>
        </w:rPr>
      </w:pPr>
      <w:r>
        <w:rPr>
          <w:sz w:val="20"/>
        </w:rPr>
      </w:r>
    </w:p>
    <w:p>
      <w:pPr>
        <w:pStyle w:val="ListBullet2"/>
        <w:numPr>
          <w:ilvl w:val="0"/>
          <w:numId w:val="6"/>
        </w:numPr>
        <w:rPr>
          <w:sz w:val="20"/>
        </w:rPr>
      </w:pPr>
      <w:r>
        <w:rPr>
          <w:sz w:val="20"/>
        </w:rPr>
        <w:t>If Buyer fails to notify Seller of the BDQ by this deadline, the BDQ shall be the previous month’s average usage.</w:t>
      </w:r>
    </w:p>
    <w:p>
      <w:pPr>
        <w:pStyle w:val="ListBullet2"/>
        <w:ind w:hanging="0" w:start="0" w:end="0"/>
        <w:rPr>
          <w:sz w:val="20"/>
        </w:rPr>
      </w:pPr>
      <w:r>
        <w:rPr>
          <w:sz w:val="20"/>
        </w:rPr>
      </w:r>
    </w:p>
    <w:p>
      <w:pPr>
        <w:pStyle w:val="ListBullet2"/>
        <w:numPr>
          <w:ilvl w:val="0"/>
          <w:numId w:val="6"/>
        </w:numPr>
        <w:rPr>
          <w:sz w:val="20"/>
        </w:rPr>
      </w:pPr>
      <w:r>
        <w:rPr>
          <w:sz w:val="20"/>
        </w:rPr>
        <w:t xml:space="preserve">After the start of the Month, if Buyer believes that usage is higher or lower than the BDQ, Buyer can contact Seller to purchases additional supplies or sell back supply to Seller at a fixed price. </w:t>
      </w:r>
    </w:p>
    <w:p>
      <w:pPr>
        <w:pStyle w:val="ListBullet2"/>
        <w:ind w:hanging="0" w:start="0" w:end="0"/>
        <w:rPr>
          <w:sz w:val="20"/>
        </w:rPr>
      </w:pPr>
      <w:r>
        <w:rPr>
          <w:sz w:val="20"/>
        </w:rPr>
      </w:r>
    </w:p>
    <w:p>
      <w:pPr>
        <w:pStyle w:val="ListBullet2"/>
        <w:numPr>
          <w:ilvl w:val="0"/>
          <w:numId w:val="6"/>
        </w:numPr>
        <w:rPr>
          <w:sz w:val="20"/>
        </w:rPr>
      </w:pPr>
      <w:r>
        <w:rPr>
          <w:sz w:val="20"/>
        </w:rPr>
        <w:t>OFO Management</w:t>
      </w:r>
    </w:p>
    <w:p>
      <w:pPr>
        <w:pStyle w:val="ListBullet2"/>
        <w:numPr>
          <w:ilvl w:val="0"/>
          <w:numId w:val="5"/>
        </w:numPr>
        <w:rPr>
          <w:sz w:val="20"/>
        </w:rPr>
      </w:pPr>
      <w:r>
        <w:rPr>
          <w:sz w:val="20"/>
        </w:rPr>
        <w:t>Buyer shall assign an individual at plant that Seller can contact 24-hours/day to manage SoCalGas Operational Flow Order (OFO) events.</w:t>
      </w:r>
    </w:p>
    <w:p>
      <w:pPr>
        <w:pStyle w:val="ListBullet2"/>
        <w:numPr>
          <w:ilvl w:val="0"/>
          <w:numId w:val="5"/>
        </w:numPr>
        <w:rPr>
          <w:sz w:val="20"/>
        </w:rPr>
      </w:pPr>
      <w:r>
        <w:rPr>
          <w:sz w:val="20"/>
        </w:rPr>
        <w:t>Seller shall be responsible for notifying Buyer in the event of a SoCalGas Operational Flow Order (OFO) requiring that Daily deliveries and usage equal each other within the tolerance permitted by SoCalGas.  Notification shall be by telephone call on Seller’s recorded line noting the date and time of such call.</w:t>
      </w:r>
    </w:p>
    <w:p>
      <w:pPr>
        <w:pStyle w:val="ListBullet2"/>
        <w:numPr>
          <w:ilvl w:val="0"/>
          <w:numId w:val="5"/>
        </w:numPr>
        <w:rPr>
          <w:sz w:val="20"/>
        </w:rPr>
      </w:pPr>
      <w:r>
        <w:rPr>
          <w:sz w:val="20"/>
        </w:rPr>
        <w:t>Upon notification by Seller of an OFO event, Buyer shall set an OFO Quantity as the target for Seller to deliver during the OFO event.</w:t>
      </w:r>
    </w:p>
    <w:p>
      <w:pPr>
        <w:pStyle w:val="ListBullet2"/>
        <w:numPr>
          <w:ilvl w:val="0"/>
          <w:numId w:val="5"/>
        </w:numPr>
        <w:rPr>
          <w:sz w:val="20"/>
        </w:rPr>
      </w:pPr>
      <w:r>
        <w:rPr>
          <w:sz w:val="20"/>
        </w:rPr>
        <w:t xml:space="preserve">If Seller does not notify Buyer of an OFO event, and Seller incurs penalties as a result of Seller delivering a quantity that differs from Buyer’s usage, such penalties shall be the financial responsibility of Seller. </w:t>
      </w:r>
    </w:p>
    <w:p>
      <w:pPr>
        <w:pStyle w:val="ListBullet2"/>
        <w:numPr>
          <w:ilvl w:val="0"/>
          <w:numId w:val="5"/>
        </w:numPr>
        <w:rPr>
          <w:sz w:val="20"/>
        </w:rPr>
      </w:pPr>
      <w:r>
        <w:rPr>
          <w:sz w:val="20"/>
        </w:rPr>
        <w:t>Any penalties incurred by Seller in delivering the OFO Quantity shall be the financial responsibility of Buyer.</w:t>
      </w:r>
    </w:p>
    <w:p>
      <w:pPr>
        <w:pStyle w:val="ListBullet2"/>
        <w:numPr>
          <w:ilvl w:val="0"/>
          <w:numId w:val="5"/>
        </w:numPr>
        <w:rPr>
          <w:sz w:val="20"/>
        </w:rPr>
      </w:pPr>
      <w:r>
        <w:rPr>
          <w:sz w:val="20"/>
        </w:rPr>
        <w:t>Any penalties incurred by Seller as a result of its failure to deliver the OFO Quantity shall be the responsibility of Seller.</w:t>
      </w:r>
    </w:p>
    <w:p>
      <w:pPr>
        <w:pStyle w:val="ListBullet2"/>
        <w:numPr>
          <w:ilvl w:val="0"/>
          <w:numId w:val="5"/>
        </w:numPr>
        <w:rPr>
          <w:sz w:val="20"/>
        </w:rPr>
      </w:pPr>
      <w:r>
        <w:rPr>
          <w:sz w:val="20"/>
        </w:rPr>
        <w:t xml:space="preserve">If Seller cannot contact Buyer’s representative to set the OFO Quantity, Seller shall unilaterally set the OFO Quantity, notify Buyer of such OFO Quantity by leaving a telephone message with Buyer and shall be financially responsible for any penalties assessed Seller as a result of Seller delivering a quantity that differs from Buyer’s usage.  </w:t>
      </w:r>
    </w:p>
    <w:p>
      <w:pPr>
        <w:pStyle w:val="ListBullet2"/>
        <w:ind w:hanging="0" w:end="0"/>
        <w:rPr>
          <w:sz w:val="20"/>
        </w:rPr>
      </w:pPr>
      <w:r>
        <w:rPr>
          <w:sz w:val="20"/>
        </w:rPr>
      </w:r>
    </w:p>
    <w:p>
      <w:pPr>
        <w:pStyle w:val="ListBullet2"/>
        <w:numPr>
          <w:ilvl w:val="0"/>
          <w:numId w:val="6"/>
        </w:numPr>
        <w:rPr>
          <w:sz w:val="20"/>
        </w:rPr>
      </w:pPr>
      <w:r>
        <w:rPr>
          <w:sz w:val="20"/>
        </w:rPr>
        <w:t xml:space="preserve">The Price for the BDQ scheduled prior to the month shall be the price published in </w:t>
      </w:r>
      <w:r>
        <w:rPr>
          <w:sz w:val="20"/>
          <w:u w:val="single"/>
        </w:rPr>
        <w:t>Natural Gas Intelligence</w:t>
      </w:r>
      <w:r>
        <w:rPr>
          <w:sz w:val="20"/>
        </w:rPr>
        <w:t xml:space="preserve"> Gas Price Index, first issue of the delivery month, in the table titled “California Border,” on the line titled Southern California Border, less $.015/MMBtu.</w:t>
      </w:r>
    </w:p>
    <w:p>
      <w:pPr>
        <w:pStyle w:val="ListBullet2"/>
        <w:rPr>
          <w:sz w:val="20"/>
        </w:rPr>
      </w:pPr>
      <w:r>
        <w:rPr>
          <w:sz w:val="20"/>
        </w:rPr>
      </w:r>
    </w:p>
    <w:p>
      <w:pPr>
        <w:pStyle w:val="ListBullet2"/>
        <w:numPr>
          <w:ilvl w:val="0"/>
          <w:numId w:val="6"/>
        </w:numPr>
        <w:rPr>
          <w:sz w:val="20"/>
        </w:rPr>
      </w:pPr>
      <w:r>
        <w:rPr>
          <w:sz w:val="20"/>
        </w:rPr>
        <w:t>If Buyer’s usage on any day is higher than the BDQ, Buyer shall purchase such difference from Seller at a Price equal to the Mid-Point Index, as posted in Pasha Publication’s “</w:t>
      </w:r>
      <w:r>
        <w:rPr>
          <w:sz w:val="20"/>
          <w:u w:val="single"/>
        </w:rPr>
        <w:t>Gas Daily</w:t>
      </w:r>
      <w:r>
        <w:rPr>
          <w:sz w:val="20"/>
        </w:rPr>
        <w:t xml:space="preserve">,” Daily Price Survey, under the heading “Others,” for SoCal gas, large packages, mid-point of the common range. </w:t>
      </w:r>
    </w:p>
    <w:p>
      <w:pPr>
        <w:pStyle w:val="ListBullet2"/>
        <w:ind w:hanging="0" w:start="0" w:end="0"/>
        <w:rPr>
          <w:sz w:val="20"/>
        </w:rPr>
      </w:pPr>
      <w:r>
        <w:rPr>
          <w:sz w:val="20"/>
        </w:rPr>
      </w:r>
    </w:p>
    <w:p>
      <w:pPr>
        <w:pStyle w:val="ListBullet2"/>
        <w:numPr>
          <w:ilvl w:val="0"/>
          <w:numId w:val="6"/>
        </w:numPr>
        <w:rPr>
          <w:sz w:val="20"/>
        </w:rPr>
      </w:pPr>
      <w:r>
        <w:rPr>
          <w:sz w:val="20"/>
        </w:rPr>
        <w:t>If Buyer’s usage on any day is lower than the BLQ, Seller shall purchase such quantity from Buyer at a Price equal to the Mid-Point Index, as posted in Pasha Publication’s “</w:t>
      </w:r>
      <w:r>
        <w:rPr>
          <w:sz w:val="20"/>
          <w:u w:val="single"/>
        </w:rPr>
        <w:t>Gas Daily</w:t>
      </w:r>
      <w:r>
        <w:rPr>
          <w:sz w:val="20"/>
        </w:rPr>
        <w:t xml:space="preserve">,” Daily Price Survey, under the heading “Others,” for SoCal gas, large packages, mid-point of the common range. </w:t>
      </w:r>
    </w:p>
    <w:p>
      <w:pPr>
        <w:pStyle w:val="BodyTextIndent"/>
        <w:ind w:hanging="0" w:start="0" w:end="0"/>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648"/>
        </w:tabs>
        <w:ind w:start="648" w:hanging="360"/>
      </w:pPr>
      <w:rPr/>
    </w:lvl>
  </w:abstractNum>
  <w:abstractNum w:abstractNumId="3">
    <w:lvl w:ilvl="0">
      <w:start w:val="1"/>
      <w:numFmt w:val="upperLetter"/>
      <w:lvlText w:val="%1."/>
      <w:lvlJc w:val="start"/>
      <w:pPr>
        <w:tabs>
          <w:tab w:val="num" w:pos="720"/>
        </w:tabs>
        <w:ind w:start="720" w:hanging="360"/>
      </w:pPr>
      <w:rPr/>
    </w:lvl>
  </w:abstractNum>
  <w:abstractNum w:abstractNumId="4">
    <w:lvl w:ilvl="0">
      <w:start w:val="2"/>
      <w:numFmt w:val="upperRoman"/>
      <w:lvlText w:val="%1."/>
      <w:lvlJc w:val="start"/>
      <w:pPr>
        <w:tabs>
          <w:tab w:val="num" w:pos="720"/>
        </w:tabs>
        <w:ind w:start="720" w:hanging="720"/>
      </w:pPr>
      <w:rPr/>
    </w:lvl>
  </w:abstractNum>
  <w:abstractNum w:abstractNumId="5">
    <w:lvl w:ilvl="0">
      <w:start w:val="1"/>
      <w:numFmt w:val="decimal"/>
      <w:lvlText w:val="%1."/>
      <w:lvlJc w:val="start"/>
      <w:pPr>
        <w:tabs>
          <w:tab w:val="num" w:pos="1080"/>
        </w:tabs>
        <w:ind w:start="1080" w:hanging="360"/>
      </w:pPr>
      <w:rPr/>
    </w:lvl>
  </w:abstractNum>
  <w:abstractNum w:abstractNumId="6">
    <w:lvl w:ilvl="0">
      <w:start w:val="1"/>
      <w:numFmt w:val="upperLetter"/>
      <w:lvlText w:val="%1."/>
      <w:lvlJc w:val="start"/>
      <w:pPr>
        <w:tabs>
          <w:tab w:val="num" w:pos="720"/>
        </w:tabs>
        <w:ind w:start="720" w:hanging="360"/>
      </w:pPr>
      <w:rPr/>
    </w:lvl>
  </w:abstractNum>
  <w:abstractNum w:abstractNumId="7">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tabs>
        <w:tab w:val="clear" w:pos="720"/>
        <w:tab w:val="left" w:pos="360" w:leader="none"/>
      </w:tabs>
      <w:spacing w:before="0" w:after="120"/>
      <w:ind w:hanging="0" w:start="0" w:end="14"/>
      <w:outlineLvl w:val="1"/>
    </w:pPr>
    <w:rPr>
      <w:b/>
    </w:rPr>
  </w:style>
  <w:style w:type="paragraph" w:styleId="Heading3">
    <w:name w:val="heading 3"/>
    <w:basedOn w:val="Normal"/>
    <w:next w:val="Normal"/>
    <w:qFormat/>
    <w:pPr>
      <w:keepNext w:val="true"/>
      <w:numPr>
        <w:ilvl w:val="0"/>
        <w:numId w:val="4"/>
      </w:numPr>
      <w:spacing w:before="0" w:after="120"/>
      <w:ind w:hanging="0" w:start="0" w:end="14"/>
      <w:jc w:val="both"/>
      <w:outlineLvl w:val="2"/>
    </w:pPr>
    <w:rPr>
      <w:b/>
    </w:rPr>
  </w:style>
  <w:style w:type="paragraph" w:styleId="Heading4">
    <w:name w:val="heading 4"/>
    <w:basedOn w:val="Normal"/>
    <w:next w:val="Normal"/>
    <w:qFormat/>
    <w:pPr>
      <w:keepNext w:val="true"/>
      <w:numPr>
        <w:ilvl w:val="3"/>
        <w:numId w:val="1"/>
      </w:numPr>
      <w:spacing w:lineRule="auto" w:line="360" w:before="0" w:after="120"/>
      <w:ind w:hanging="360" w:start="360" w:end="14"/>
      <w:jc w:val="both"/>
      <w:outlineLvl w:val="3"/>
    </w:pPr>
    <w:rPr>
      <w:b/>
    </w:rPr>
  </w:style>
  <w:style w:type="paragraph" w:styleId="Heading5">
    <w:name w:val="heading 5"/>
    <w:basedOn w:val="Normal"/>
    <w:next w:val="Normal"/>
    <w:qFormat/>
    <w:pPr>
      <w:keepNext w:val="true"/>
      <w:numPr>
        <w:ilvl w:val="4"/>
        <w:numId w:val="1"/>
      </w:numPr>
      <w:tabs>
        <w:tab w:val="clear" w:pos="720"/>
        <w:tab w:val="left" w:pos="360" w:leader="none"/>
      </w:tabs>
      <w:spacing w:before="0" w:after="120"/>
      <w:ind w:hanging="0" w:start="0" w:end="14"/>
      <w:jc w:val="both"/>
      <w:outlineLvl w:val="4"/>
    </w:pPr>
    <w:rPr>
      <w:b/>
    </w:rPr>
  </w:style>
  <w:style w:type="paragraph" w:styleId="Heading6">
    <w:name w:val="heading 6"/>
    <w:basedOn w:val="Normal"/>
    <w:next w:val="Normal"/>
    <w:qFormat/>
    <w:pPr>
      <w:keepNext w:val="true"/>
      <w:numPr>
        <w:ilvl w:val="5"/>
        <w:numId w:val="1"/>
      </w:numPr>
      <w:ind w:hanging="360" w:start="360" w:end="0"/>
      <w:outlineLvl w:val="5"/>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val="fals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before="0" w:after="120"/>
    </w:pPr>
    <w:rPr>
      <w:rFonts w:ascii="Arial" w:hAnsi="Arial" w:cs="Arial"/>
      <w:sz w:val="24"/>
    </w:rPr>
  </w:style>
  <w:style w:type="paragraph" w:styleId="List">
    <w:name w:val="List"/>
    <w:basedOn w:val="Normal"/>
    <w:pPr>
      <w:ind w:hanging="360" w:start="36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z w:val="24"/>
    </w:rPr>
  </w:style>
  <w:style w:type="paragraph" w:styleId="ListBullet3">
    <w:name w:val="List Bullet 3"/>
    <w:basedOn w:val="Normal"/>
    <w:pPr>
      <w:ind w:hanging="360" w:start="1080" w:end="0"/>
    </w:pPr>
    <w:rPr>
      <w:sz w:val="24"/>
    </w:rPr>
  </w:style>
  <w:style w:type="paragraph" w:styleId="BodyTextIndent">
    <w:name w:val="Body Text Indent"/>
    <w:basedOn w:val="Normal"/>
    <w:pPr>
      <w:ind w:hanging="360" w:start="10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2000-05-04T15:36:00Z</dcterms:created>
  <dc:creator>EW/LN/CB</dc:creator>
  <dc:description/>
  <cp:keywords>Ethan</cp:keywords>
  <dc:language>en-CA</dc:language>
  <cp:lastModifiedBy>cfoster</cp:lastModifiedBy>
  <dcterms:modified xsi:type="dcterms:W3CDTF">2000-05-04T15:36:00Z</dcterms:modified>
  <cp:revision>2</cp:revision>
  <dc:subject/>
  <dc:title>Ethan Frome</dc:title>
</cp:coreProperties>
</file>