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spacing w:before="400" w:after="120"/>
        <w:ind w:firstLine="840" w:end="0"/>
        <w:rPr>
          <w:rFonts w:ascii="Times New Roman" w:hAnsi="Times New Roman" w:cs="Times New Roman"/>
        </w:rPr>
      </w:pPr>
      <w:r>
        <w:rPr>
          <w:rFonts w:cs="Times New Roman" w:ascii="Times New Roman" w:hAnsi="Times New Roman"/>
          <w:sz w:val="36"/>
        </w:rPr>
        <w:t>Memo</w:t>
      </w:r>
      <w:r>
        <mc:AlternateContent>
          <mc:Choice Requires="wps">
            <w:drawing>
              <wp:anchor behindDoc="0" distT="0" distB="0" distL="114300" distR="114300" simplePos="0" locked="0" layoutInCell="0" allowOverlap="1" relativeHeight="2">
                <wp:simplePos x="0" y="0"/>
                <wp:positionH relativeFrom="page">
                  <wp:posOffset>367665</wp:posOffset>
                </wp:positionH>
                <wp:positionV relativeFrom="paragraph">
                  <wp:posOffset>-797560</wp:posOffset>
                </wp:positionV>
                <wp:extent cx="1129665" cy="1129030"/>
                <wp:effectExtent l="0" t="0" r="0" b="0"/>
                <wp:wrapSquare wrapText="bothSides"/>
                <wp:docPr id="1" name="Frame1"/>
                <a:graphic xmlns:a="http://schemas.openxmlformats.org/drawingml/2006/main">
                  <a:graphicData uri="http://schemas.microsoft.com/office/word/2010/wordprocessingShape">
                    <wps:wsp>
                      <wps:cNvSpPr txBox="1"/>
                      <wps:spPr>
                        <a:xfrm>
                          <a:off x="0" y="0"/>
                          <a:ext cx="1129665" cy="1129030"/>
                        </a:xfrm>
                        <a:prstGeom prst="rect"/>
                        <a:solidFill>
                          <a:srgbClr val="FFFFFF">
                            <a:alpha val="0"/>
                          </a:srgbClr>
                        </a:solidFill>
                      </wps:spPr>
                      <wps:txbx>
                        <w:txbxContent>
                          <w:p>
                            <w:pPr>
                              <w:pStyle w:val="Normal"/>
                              <w:rPr/>
                            </w:pPr>
                            <w:r>
                              <w:rPr/>
                              <w:object w:dxaOrig="1778" w:dyaOrig="177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8.9pt;height:88.9pt" filled="f" o:ole="">
                                  <v:imagedata r:id="rId3" o:title=""/>
                                </v:shape>
                                <o:OLEObject Type="Embed" ProgID="" ShapeID="ole_rId2" DrawAspect="Content" ObjectID="_1290129163" r:id="rId2"/>
                              </w:object>
                            </w:r>
                          </w:p>
                        </w:txbxContent>
                      </wps:txbx>
                      <wps:bodyPr anchor="t" lIns="0" tIns="0" rIns="0" bIns="0">
                        <a:noAutofit/>
                      </wps:bodyPr>
                    </wps:wsp>
                  </a:graphicData>
                </a:graphic>
              </wp:anchor>
            </w:drawing>
          </mc:Choice>
          <mc:Fallback>
            <w:pict>
              <v:rect fillcolor="#FFFFFF" style="position:absolute;rotation:-0;width:88.95pt;height:88.9pt;mso-wrap-distance-left:9pt;mso-wrap-distance-right:9pt;mso-wrap-distance-top:0pt;mso-wrap-distance-bottom:0pt;margin-top:-62.8pt;mso-position-vertical-relative:text;margin-left:28.95pt;mso-position-horizontal-relative:page">
                <v:fill opacity="0f"/>
                <v:textbox inset="0in,0in,0in,0in">
                  <w:txbxContent>
                    <w:p>
                      <w:pPr>
                        <w:pStyle w:val="Normal"/>
                        <w:rPr/>
                      </w:pPr>
                      <w:r>
                        <w:rPr/>
                        <w:object w:dxaOrig="1778" w:dyaOrig="1778">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88.9pt;height:88.9pt" filled="f" o:ole="">
                            <v:imagedata r:id="rId5" o:title=""/>
                          </v:shape>
                          <o:OLEObject Type="Embed" ProgID="" ShapeID="ole_rId4" DrawAspect="Content" ObjectID="_1939018733" r:id="rId4"/>
                        </w:object>
                      </w:r>
                    </w:p>
                  </w:txbxContent>
                </v:textbox>
                <w10:wrap type="square"/>
              </v:rect>
            </w:pict>
          </mc:Fallback>
        </mc:AlternateContent>
      </w:r>
    </w:p>
    <w:p>
      <w:pPr>
        <w:pStyle w:val="MessageHeaderFirst"/>
        <w:rPr/>
      </w:pPr>
      <w:r>
        <w:rPr>
          <w:rStyle w:val="MessageHeaderLabel"/>
          <w:rFonts w:cs="Times New Roman" w:ascii="Times New Roman" w:hAnsi="Times New Roman"/>
        </w:rPr>
        <w:t>Date:</w:t>
      </w:r>
      <w:r>
        <w:rPr>
          <w:rFonts w:cs="Times New Roman" w:ascii="Times New Roman" w:hAnsi="Times New Roman"/>
        </w:rPr>
        <w:tab/>
        <w:t>April 2000</w:t>
      </w:r>
    </w:p>
    <w:p>
      <w:pPr>
        <w:pStyle w:val="MessageHeaderFirst"/>
        <w:rPr/>
      </w:pPr>
      <w:r>
        <w:rPr>
          <w:rStyle w:val="MessageHeaderLabel"/>
          <w:rFonts w:cs="Times New Roman" w:ascii="Times New Roman" w:hAnsi="Times New Roman"/>
        </w:rPr>
        <w:t>To:</w:t>
      </w:r>
      <w:r>
        <w:rPr>
          <w:rFonts w:cs="Times New Roman" w:ascii="Times New Roman" w:hAnsi="Times New Roman"/>
        </w:rPr>
        <w:t xml:space="preserve">            John Sherriff, Joseph Gold, Fernley Dyson, Barry Pearce, Michael Moscoso, David Port</w:t>
      </w:r>
    </w:p>
    <w:p>
      <w:pPr>
        <w:pStyle w:val="MessageHeader"/>
        <w:ind w:hanging="0" w:start="0" w:end="0"/>
        <w:rPr>
          <w:rStyle w:val="MessageHeaderLabel"/>
          <w:rFonts w:ascii="Times New Roman" w:hAnsi="Times New Roman" w:cs="Times New Roman"/>
          <w:sz w:val="20"/>
        </w:rPr>
      </w:pPr>
      <w:r>
        <w:rPr>
          <w:rFonts w:cs="Times New Roman" w:ascii="Times New Roman" w:hAnsi="Times New Roman"/>
        </w:rPr>
      </w:r>
    </w:p>
    <w:p>
      <w:pPr>
        <w:pStyle w:val="MessageHeader"/>
        <w:ind w:hanging="0" w:start="0" w:end="0"/>
        <w:rPr/>
      </w:pPr>
      <w:r>
        <w:rPr>
          <w:rStyle w:val="MessageHeaderLabel"/>
          <w:rFonts w:cs="Times New Roman" w:ascii="Times New Roman" w:hAnsi="Times New Roman"/>
        </w:rPr>
        <w:t>From:</w:t>
      </w:r>
      <w:r>
        <w:rPr>
          <w:rFonts w:cs="Times New Roman" w:ascii="Times New Roman" w:hAnsi="Times New Roman"/>
        </w:rPr>
        <w:tab/>
        <w:t xml:space="preserve"> James New and Anthony MacDonald</w:t>
      </w:r>
    </w:p>
    <w:p>
      <w:pPr>
        <w:pStyle w:val="MessageHeaderLast"/>
        <w:ind w:hanging="0" w:start="0" w:end="0"/>
        <w:rPr>
          <w:rFonts w:ascii="Times New Roman" w:hAnsi="Times New Roman" w:cs="Times New Roman"/>
          <w:b/>
          <w:sz w:val="22"/>
          <w:u w:val="single"/>
        </w:rPr>
      </w:pPr>
      <w:r>
        <w:rPr>
          <w:rStyle w:val="MessageHeaderLabel"/>
          <w:rFonts w:cs="Times New Roman" w:ascii="Times New Roman" w:hAnsi="Times New Roman"/>
        </w:rPr>
        <w:t>Re:</w:t>
      </w:r>
      <w:r>
        <w:rPr>
          <w:rFonts w:cs="Times New Roman" w:ascii="Times New Roman" w:hAnsi="Times New Roman"/>
        </w:rPr>
        <w:tab/>
        <w:t xml:space="preserve"> </w:t>
      </w:r>
      <w:r>
        <w:rPr>
          <w:b/>
          <w:u w:val="single"/>
        </w:rPr>
        <w:t>Continental Power - April 2000 Curve Validation and Profit and Loss Report</w:t>
      </w:r>
    </w:p>
    <w:p>
      <w:pPr>
        <w:pStyle w:val="MessageHeader"/>
        <w:tabs>
          <w:tab w:val="clear" w:pos="720"/>
          <w:tab w:val="left" w:pos="0" w:leader="none"/>
        </w:tabs>
        <w:ind w:hanging="0" w:start="0" w:end="0"/>
        <w:rPr/>
      </w:pPr>
      <w:r>
        <w:rPr/>
        <w:t>The purpose of this memorandum is to summarise our review of the Continental Power Curves as at the 28th April 2000 and analyse the reported profits of the book.</w:t>
      </w:r>
    </w:p>
    <w:p>
      <w:pPr>
        <w:pStyle w:val="MessageHeader"/>
        <w:tabs>
          <w:tab w:val="clear" w:pos="720"/>
          <w:tab w:val="left" w:pos="0" w:leader="none"/>
        </w:tabs>
        <w:rPr>
          <w:b/>
          <w:u w:val="single"/>
        </w:rPr>
      </w:pPr>
      <w:r>
        <w:rPr>
          <w:b/>
          <w:u w:val="single"/>
        </w:rPr>
      </w:r>
    </w:p>
    <w:p>
      <w:pPr>
        <w:pStyle w:val="MessageHeader"/>
        <w:tabs>
          <w:tab w:val="clear" w:pos="720"/>
          <w:tab w:val="left" w:pos="0" w:leader="none"/>
        </w:tabs>
        <w:rPr>
          <w:b/>
          <w:u w:val="single"/>
        </w:rPr>
      </w:pPr>
      <w:r>
        <w:rPr>
          <w:b/>
          <w:u w:val="single"/>
        </w:rPr>
        <w:t>A- Executive Summary</w:t>
      </w:r>
    </w:p>
    <w:p>
      <w:pPr>
        <w:pStyle w:val="MessageHeader"/>
        <w:tabs>
          <w:tab w:val="clear" w:pos="720"/>
          <w:tab w:val="left" w:pos="0" w:leader="none"/>
        </w:tabs>
        <w:ind w:hanging="0" w:start="0" w:end="0"/>
        <w:rPr/>
      </w:pPr>
      <w:r>
        <w:rPr/>
        <w:t xml:space="preserve">A review of the Continental Power curves demonstrates that they have been constructed objectively using the latest data where available and that they are consistent with relevant market information. (For assumptions on MTM valuations see Section B - Curve Validation). The book value market-to-market and realised, pre- provisions and reserves, was </w:t>
      </w:r>
      <w:r>
        <w:rPr>
          <w:b/>
        </w:rPr>
        <w:t>€20,147,775</w:t>
      </w:r>
      <w:r>
        <w:rPr/>
        <w:t xml:space="preserve"> (March </w:t>
      </w:r>
      <w:r>
        <w:rPr>
          <w:b/>
        </w:rPr>
        <w:t>€17,353,557</w:t>
      </w:r>
      <w:r>
        <w:rPr/>
        <w:t xml:space="preserve">) and the total net book valuation post-provisions and reserves was </w:t>
      </w:r>
      <w:r>
        <w:rPr>
          <w:b/>
        </w:rPr>
        <w:t>€(4,148,208)</w:t>
      </w:r>
      <w:r>
        <w:rPr/>
        <w:t xml:space="preserve"> (March </w:t>
      </w:r>
      <w:r>
        <w:rPr>
          <w:b/>
        </w:rPr>
        <w:t>€(3,996,262)</w:t>
      </w:r>
      <w:r>
        <w:rPr/>
        <w:t>.</w:t>
      </w:r>
    </w:p>
    <w:p>
      <w:pPr>
        <w:pStyle w:val="MessageHeader"/>
        <w:tabs>
          <w:tab w:val="clear" w:pos="720"/>
          <w:tab w:val="left" w:pos="0" w:leader="none"/>
        </w:tabs>
        <w:ind w:hanging="0" w:start="0" w:end="0"/>
        <w:rPr/>
      </w:pPr>
      <w:r>
        <w:rPr/>
        <w:t xml:space="preserve">Cash realised in the month was </w:t>
      </w:r>
      <w:r>
        <w:rPr>
          <w:b/>
        </w:rPr>
        <w:t>€(10,063,584)</w:t>
      </w:r>
      <w:r>
        <w:rPr/>
        <w:t xml:space="preserve">, (March </w:t>
      </w:r>
      <w:r>
        <w:rPr>
          <w:b/>
        </w:rPr>
        <w:t>€(1,935,404)</w:t>
      </w:r>
      <w:r>
        <w:rPr/>
        <w:t>) mainly due to Enron being net short physically and financially on the Dutch Bilateral market resulting in financial compensations and payment of floating rates at highly elevated prices. (See March 2000 curve validation memo).</w:t>
      </w:r>
    </w:p>
    <w:p>
      <w:pPr>
        <w:pStyle w:val="MessageHeader"/>
        <w:tabs>
          <w:tab w:val="clear" w:pos="720"/>
          <w:tab w:val="left" w:pos="0" w:leader="none"/>
        </w:tabs>
        <w:ind w:hanging="0" w:start="0" w:end="0"/>
        <w:rPr/>
      </w:pPr>
      <w:r>
        <w:rPr/>
        <w:t>The number of trades done during April was 2057 (March 2134) of which 278  were long-term (one month or longer) compared to 328 in March.</w:t>
      </w:r>
    </w:p>
    <w:p>
      <w:pPr>
        <w:pStyle w:val="MessageHeader"/>
        <w:tabs>
          <w:tab w:val="clear" w:pos="720"/>
          <w:tab w:val="left" w:pos="0" w:leader="none"/>
        </w:tabs>
        <w:ind w:hanging="0" w:start="0" w:end="0"/>
        <w:rPr/>
      </w:pPr>
      <w:r>
        <w:rPr/>
        <w:t>Enron Online (EOL) started trading on 5</w:t>
      </w:r>
      <w:r>
        <w:rPr>
          <w:vertAlign w:val="superscript"/>
        </w:rPr>
        <w:t>th</w:t>
      </w:r>
      <w:r>
        <w:rPr/>
        <w:t xml:space="preserve"> February, and has done 892 trades (300 April and 212 March).</w:t>
      </w:r>
    </w:p>
    <w:p>
      <w:pPr>
        <w:pStyle w:val="MessageHeader"/>
        <w:tabs>
          <w:tab w:val="clear" w:pos="720"/>
          <w:tab w:val="left" w:pos="0" w:leader="none"/>
        </w:tabs>
        <w:rPr/>
      </w:pPr>
      <w:r>
        <w:rPr/>
      </w:r>
    </w:p>
    <w:p>
      <w:pPr>
        <w:pStyle w:val="MessageHeader"/>
        <w:tabs>
          <w:tab w:val="clear" w:pos="720"/>
          <w:tab w:val="left" w:pos="0" w:leader="none"/>
        </w:tabs>
        <w:rPr>
          <w:b/>
          <w:u w:val="single"/>
        </w:rPr>
      </w:pPr>
      <w:r>
        <w:rPr>
          <w:b/>
          <w:u w:val="single"/>
        </w:rPr>
        <w:t>B - Curve Validation</w:t>
      </w:r>
    </w:p>
    <w:p>
      <w:pPr>
        <w:pStyle w:val="MessageHeader"/>
        <w:tabs>
          <w:tab w:val="clear" w:pos="720"/>
          <w:tab w:val="left" w:pos="0" w:leader="none"/>
        </w:tabs>
        <w:rPr>
          <w:b/>
          <w:u w:val="single"/>
        </w:rPr>
      </w:pPr>
      <w:r>
        <w:rPr>
          <w:b/>
          <w:u w:val="single"/>
        </w:rPr>
      </w:r>
    </w:p>
    <w:p>
      <w:pPr>
        <w:pStyle w:val="MessageHeader"/>
        <w:tabs>
          <w:tab w:val="clear" w:pos="720"/>
          <w:tab w:val="left" w:pos="0" w:leader="none"/>
        </w:tabs>
        <w:rPr>
          <w:b/>
          <w:highlight w:val="green"/>
          <w:u w:val="single"/>
        </w:rPr>
      </w:pPr>
      <w:r>
        <w:rPr>
          <w:b/>
          <w:u w:val="single"/>
        </w:rPr>
        <w:t>1.  Methodology</w:t>
      </w:r>
    </w:p>
    <w:p>
      <w:pPr>
        <w:pStyle w:val="MessageHeader"/>
        <w:tabs>
          <w:tab w:val="clear" w:pos="720"/>
          <w:tab w:val="left" w:pos="0" w:leader="none"/>
        </w:tabs>
        <w:ind w:hanging="0" w:start="0" w:end="0"/>
        <w:rPr/>
      </w:pPr>
      <w:r>
        <w:rPr/>
        <w:t>The curves have been reviewed against the following:</w:t>
      </w:r>
    </w:p>
    <w:p>
      <w:pPr>
        <w:pStyle w:val="MessageHeader"/>
        <w:numPr>
          <w:ilvl w:val="0"/>
          <w:numId w:val="5"/>
        </w:numPr>
        <w:tabs>
          <w:tab w:val="clear" w:pos="720"/>
          <w:tab w:val="left" w:pos="0" w:leader="none"/>
        </w:tabs>
        <w:rPr/>
      </w:pPr>
      <w:r>
        <w:rPr/>
        <w:t>Broker Quote Variance (and Historical Trades) - Front End / balance 2000</w:t>
      </w:r>
    </w:p>
    <w:p>
      <w:pPr>
        <w:pStyle w:val="MessageHeader"/>
        <w:numPr>
          <w:ilvl w:val="0"/>
          <w:numId w:val="5"/>
        </w:numPr>
        <w:tabs>
          <w:tab w:val="clear" w:pos="720"/>
          <w:tab w:val="left" w:pos="0" w:leader="none"/>
        </w:tabs>
        <w:rPr/>
      </w:pPr>
      <w:r>
        <w:rPr/>
        <w:t>Historical Trades (and Broker Quotes) – Middle / calendar 2001</w:t>
      </w:r>
    </w:p>
    <w:p>
      <w:pPr>
        <w:pStyle w:val="MessageHeader"/>
        <w:numPr>
          <w:ilvl w:val="0"/>
          <w:numId w:val="5"/>
        </w:numPr>
        <w:tabs>
          <w:tab w:val="clear" w:pos="720"/>
          <w:tab w:val="left" w:pos="0" w:leader="none"/>
        </w:tabs>
        <w:rPr/>
      </w:pPr>
      <w:r>
        <w:rPr/>
        <w:t>Historical Trades - Back End / beyond 2001</w:t>
      </w:r>
    </w:p>
    <w:p>
      <w:pPr>
        <w:pStyle w:val="MessageHeader"/>
        <w:tabs>
          <w:tab w:val="clear" w:pos="720"/>
          <w:tab w:val="left" w:pos="0" w:leader="none"/>
        </w:tabs>
        <w:rPr/>
      </w:pPr>
      <w:r>
        <w:rPr/>
      </w:r>
    </w:p>
    <w:p>
      <w:pPr>
        <w:pStyle w:val="MessageHeader"/>
        <w:tabs>
          <w:tab w:val="clear" w:pos="720"/>
          <w:tab w:val="left" w:pos="0" w:leader="none"/>
        </w:tabs>
        <w:rPr/>
      </w:pPr>
      <w:r>
        <w:rPr/>
        <w:t>Assumptions in comparison / deals not at the curve:</w:t>
      </w:r>
    </w:p>
    <w:p>
      <w:pPr>
        <w:pStyle w:val="MessageHeader"/>
        <w:tabs>
          <w:tab w:val="clear" w:pos="720"/>
          <w:tab w:val="left" w:pos="0" w:leader="none"/>
        </w:tabs>
        <w:ind w:hanging="0" w:start="0" w:end="0"/>
        <w:rPr/>
      </w:pPr>
      <w:r>
        <w:rPr/>
      </w:r>
    </w:p>
    <w:p>
      <w:pPr>
        <w:pStyle w:val="MessageHeader"/>
        <w:numPr>
          <w:ilvl w:val="0"/>
          <w:numId w:val="2"/>
        </w:numPr>
        <w:tabs>
          <w:tab w:val="clear" w:pos="720"/>
          <w:tab w:val="left" w:pos="0" w:leader="none"/>
        </w:tabs>
        <w:rPr/>
      </w:pPr>
      <w:r>
        <w:rPr/>
        <w:t>Transmission costs may not be easily individuated in MTM evaluations (ie deals which require transmission have the transmission element booked separately, the value of this transmission  should be included  when looking at the value of an individual trade)</w:t>
      </w:r>
    </w:p>
    <w:p>
      <w:pPr>
        <w:pStyle w:val="MessageHeader"/>
        <w:numPr>
          <w:ilvl w:val="0"/>
          <w:numId w:val="2"/>
        </w:numPr>
        <w:tabs>
          <w:tab w:val="clear" w:pos="720"/>
          <w:tab w:val="left" w:pos="0" w:leader="none"/>
        </w:tabs>
        <w:rPr/>
      </w:pPr>
      <w:r>
        <w:rPr/>
        <w:t>Trader curves are also affected by market knowledge of buyer and seller numbers tending the curve towards, for example, the broker bid quote if there are more sellers.</w:t>
      </w:r>
    </w:p>
    <w:p>
      <w:pPr>
        <w:pStyle w:val="MessageHeader"/>
        <w:numPr>
          <w:ilvl w:val="0"/>
          <w:numId w:val="2"/>
        </w:numPr>
        <w:tabs>
          <w:tab w:val="clear" w:pos="720"/>
          <w:tab w:val="left" w:pos="0" w:leader="none"/>
        </w:tabs>
        <w:rPr/>
      </w:pPr>
      <w:r>
        <w:rPr/>
        <w:t>Basis differential on all curves should be a fair reflection of transmission costs across the various European countries.</w:t>
      </w:r>
    </w:p>
    <w:p>
      <w:pPr>
        <w:pStyle w:val="MessageHeader"/>
        <w:tabs>
          <w:tab w:val="clear" w:pos="720"/>
          <w:tab w:val="left" w:pos="0" w:leader="none"/>
        </w:tabs>
        <w:ind w:hanging="0" w:start="0" w:end="0"/>
        <w:rPr/>
      </w:pPr>
      <w:r>
        <w:rPr/>
      </w:r>
    </w:p>
    <w:p>
      <w:pPr>
        <w:pStyle w:val="MessageHeader"/>
        <w:tabs>
          <w:tab w:val="clear" w:pos="720"/>
          <w:tab w:val="left" w:pos="0" w:leader="none"/>
        </w:tabs>
        <w:ind w:hanging="0" w:start="0" w:end="0"/>
        <w:rPr/>
      </w:pPr>
      <w:r>
        <w:rPr/>
        <w:t>The curve construction methodology is as follows:</w:t>
      </w:r>
    </w:p>
    <w:p>
      <w:pPr>
        <w:pStyle w:val="MessageHeader"/>
        <w:numPr>
          <w:ilvl w:val="0"/>
          <w:numId w:val="3"/>
        </w:numPr>
        <w:tabs>
          <w:tab w:val="clear" w:pos="720"/>
          <w:tab w:val="left" w:pos="0" w:leader="none"/>
        </w:tabs>
        <w:rPr/>
      </w:pPr>
      <w:r>
        <w:rPr/>
        <w:t>Calendar 2000 is based on a combination of broker quotes and trader information (supply &amp; demand estimates)</w:t>
      </w:r>
    </w:p>
    <w:p>
      <w:pPr>
        <w:pStyle w:val="MessageHeader"/>
        <w:numPr>
          <w:ilvl w:val="0"/>
          <w:numId w:val="3"/>
        </w:numPr>
        <w:tabs>
          <w:tab w:val="clear" w:pos="720"/>
          <w:tab w:val="left" w:pos="0" w:leader="none"/>
        </w:tabs>
        <w:rPr/>
      </w:pPr>
      <w:r>
        <w:rPr/>
        <w:t>Calendar 2001 has few quotes (quotes are received every three weeks) and is again a combination of quotes and trader information</w:t>
      </w:r>
    </w:p>
    <w:p>
      <w:pPr>
        <w:pStyle w:val="MessageHeader"/>
        <w:numPr>
          <w:ilvl w:val="0"/>
          <w:numId w:val="3"/>
        </w:numPr>
        <w:tabs>
          <w:tab w:val="clear" w:pos="720"/>
          <w:tab w:val="left" w:pos="0" w:leader="none"/>
        </w:tabs>
        <w:rPr/>
      </w:pPr>
      <w:r>
        <w:rPr/>
        <w:t>All curves are based off the South German curve as this is the most liquid Continental European region  (See Basis Differential diagram for basis differentials Appendix G)</w:t>
      </w:r>
    </w:p>
    <w:p>
      <w:pPr>
        <w:pStyle w:val="MessageHeader"/>
        <w:tabs>
          <w:tab w:val="clear" w:pos="720"/>
          <w:tab w:val="left" w:pos="0" w:leader="none"/>
        </w:tabs>
        <w:ind w:hanging="0" w:start="0" w:end="0"/>
        <w:rPr>
          <w:b/>
          <w:u w:val="single"/>
        </w:rPr>
      </w:pPr>
      <w:r>
        <w:rPr>
          <w:b/>
          <w:u w:val="single"/>
        </w:rPr>
      </w:r>
    </w:p>
    <w:p>
      <w:pPr>
        <w:pStyle w:val="MessageHeader"/>
        <w:tabs>
          <w:tab w:val="clear" w:pos="720"/>
          <w:tab w:val="left" w:pos="0" w:leader="none"/>
        </w:tabs>
        <w:ind w:hanging="0" w:start="0" w:end="0"/>
        <w:rPr>
          <w:b/>
          <w:u w:val="single"/>
        </w:rPr>
      </w:pPr>
      <w:r>
        <w:rPr>
          <w:b/>
          <w:u w:val="single"/>
        </w:rPr>
        <w:t>2.   Review – Power Delta</w:t>
      </w:r>
    </w:p>
    <w:p>
      <w:pPr>
        <w:pStyle w:val="MessageHeader"/>
        <w:tabs>
          <w:tab w:val="clear" w:pos="720"/>
          <w:tab w:val="left" w:pos="0" w:leader="none"/>
        </w:tabs>
        <w:ind w:hanging="0" w:start="0" w:end="0"/>
        <w:rPr>
          <w:b/>
          <w:u w:val="single"/>
        </w:rPr>
      </w:pPr>
      <w:r>
        <w:rPr>
          <w:b/>
          <w:u w:val="single"/>
        </w:rPr>
      </w:r>
    </w:p>
    <w:p>
      <w:pPr>
        <w:pStyle w:val="MessageHeader"/>
        <w:tabs>
          <w:tab w:val="clear" w:pos="720"/>
          <w:tab w:val="left" w:pos="0" w:leader="none"/>
        </w:tabs>
        <w:ind w:hanging="0" w:start="0" w:end="0"/>
        <w:rPr>
          <w:b/>
          <w:u w:val="single"/>
        </w:rPr>
      </w:pPr>
      <w:r>
        <w:rPr>
          <w:b/>
          <w:u w:val="single"/>
        </w:rPr>
        <w:t>2.1  Front End (March 2000 – December 2000)</w:t>
      </w:r>
    </w:p>
    <w:p>
      <w:pPr>
        <w:pStyle w:val="MessageHeader"/>
        <w:tabs>
          <w:tab w:val="clear" w:pos="720"/>
          <w:tab w:val="left" w:pos="0" w:leader="none"/>
        </w:tabs>
        <w:ind w:hanging="0" w:start="0" w:end="0"/>
        <w:rPr/>
      </w:pPr>
      <w:r>
        <w:rPr/>
        <w:t>Available baseload broker quotes were compared to the  trader curves as at 28</w:t>
      </w:r>
      <w:r>
        <w:rPr>
          <w:vertAlign w:val="superscript"/>
        </w:rPr>
        <w:t>th</w:t>
      </w:r>
      <w:r>
        <w:rPr/>
        <w:t xml:space="preserve"> April 2000 (see Appendix A). Both the German Northern Zone, Swiss Laufenburg, Dutch bilateral market and Austria baseload curves match broker quotes. The largest variances were on the North German curve for May, Laufenburg for July, Dutch for May and Austria for May of  €0.32, €0.35, €0.50 and €0.86 respectively. See Appendix A.</w:t>
      </w:r>
    </w:p>
    <w:p>
      <w:pPr>
        <w:pStyle w:val="MessageHeader"/>
        <w:tabs>
          <w:tab w:val="clear" w:pos="720"/>
          <w:tab w:val="left" w:pos="0" w:leader="none"/>
        </w:tabs>
        <w:ind w:hanging="0" w:start="0" w:end="0"/>
        <w:rPr/>
      </w:pPr>
      <w:r>
        <w:rPr/>
        <w:t>Most trades were at the curve save very few baseload deals which were off by no more than 1 Euro.  For example, a deal was recorded for July 2000 at €13.44 against an Austrian curve of €12.67 and for May 2000 recorded at €14.32 against a North German curve of €12.72. However, these were for low volumes and the MTM values were small and did not include transmission costs.</w:t>
      </w:r>
    </w:p>
    <w:p>
      <w:pPr>
        <w:pStyle w:val="MessageHeader"/>
        <w:tabs>
          <w:tab w:val="clear" w:pos="720"/>
          <w:tab w:val="left" w:pos="0" w:leader="none"/>
        </w:tabs>
        <w:ind w:hanging="0" w:start="0" w:end="0"/>
        <w:rPr>
          <w:b/>
          <w:u w:val="single"/>
        </w:rPr>
      </w:pPr>
      <w:r>
        <w:rPr>
          <w:b/>
          <w:u w:val="single"/>
        </w:rPr>
      </w:r>
    </w:p>
    <w:p>
      <w:pPr>
        <w:pStyle w:val="MessageHeader"/>
        <w:tabs>
          <w:tab w:val="clear" w:pos="720"/>
          <w:tab w:val="left" w:pos="0" w:leader="none"/>
        </w:tabs>
        <w:ind w:hanging="0" w:start="0" w:end="0"/>
        <w:rPr>
          <w:b/>
          <w:u w:val="single"/>
        </w:rPr>
      </w:pPr>
      <w:r>
        <w:rPr>
          <w:b/>
          <w:u w:val="single"/>
        </w:rPr>
        <w:t>2.2  Middle (calendar 2001)</w:t>
      </w:r>
    </w:p>
    <w:p>
      <w:pPr>
        <w:pStyle w:val="MessageHeader"/>
        <w:tabs>
          <w:tab w:val="clear" w:pos="720"/>
          <w:tab w:val="left" w:pos="0" w:leader="none"/>
        </w:tabs>
        <w:ind w:hanging="0" w:start="0" w:end="0"/>
        <w:rPr/>
      </w:pPr>
      <w:r>
        <w:rPr/>
        <w:t>Broker quotes that were available for this period were also close to the trader curves.</w:t>
      </w:r>
    </w:p>
    <w:p>
      <w:pPr>
        <w:pStyle w:val="MessageHeader"/>
        <w:tabs>
          <w:tab w:val="clear" w:pos="720"/>
          <w:tab w:val="left" w:pos="0" w:leader="none"/>
        </w:tabs>
        <w:ind w:hanging="0" w:start="0" w:end="0"/>
        <w:rPr/>
      </w:pPr>
      <w:r>
        <w:rPr/>
        <w:t>The only deal not at the curve of €14.87 was a Q3 2001 baseload forward in South Germany recorded at €15.34.  The resulting P&amp;L was small due to a relatively small position of 55,200 MWh.  The variance is due to market illiquidity and lack of transparency for this period.</w:t>
      </w:r>
    </w:p>
    <w:p>
      <w:pPr>
        <w:pStyle w:val="MessageHeader"/>
        <w:tabs>
          <w:tab w:val="clear" w:pos="720"/>
          <w:tab w:val="left" w:pos="0" w:leader="none"/>
        </w:tabs>
        <w:ind w:hanging="0" w:start="0" w:end="0"/>
        <w:rPr/>
      </w:pPr>
      <w:r>
        <w:rPr/>
      </w:r>
    </w:p>
    <w:p>
      <w:pPr>
        <w:pStyle w:val="MessageHeader"/>
        <w:tabs>
          <w:tab w:val="clear" w:pos="720"/>
          <w:tab w:val="left" w:pos="0" w:leader="none"/>
        </w:tabs>
        <w:ind w:hanging="0" w:start="0" w:end="0"/>
        <w:rPr>
          <w:b/>
          <w:u w:val="single"/>
        </w:rPr>
      </w:pPr>
      <w:r>
        <w:rPr>
          <w:b/>
          <w:u w:val="single"/>
        </w:rPr>
        <w:t>2.3  Back End (2001 onwards)</w:t>
      </w:r>
    </w:p>
    <w:p>
      <w:pPr>
        <w:pStyle w:val="MessageHeader"/>
        <w:tabs>
          <w:tab w:val="clear" w:pos="720"/>
          <w:tab w:val="left" w:pos="0" w:leader="none"/>
        </w:tabs>
        <w:ind w:hanging="0" w:start="0" w:end="0"/>
        <w:rPr/>
      </w:pPr>
      <w:r>
        <w:rPr/>
        <w:t>No new deals were done beyond 2001. The only position past 2001 remains the CEZ deal originated in February. See February 2000 Curve Validation report.</w:t>
      </w:r>
    </w:p>
    <w:p>
      <w:pPr>
        <w:pStyle w:val="MessageHeader"/>
        <w:tabs>
          <w:tab w:val="clear" w:pos="720"/>
          <w:tab w:val="left" w:pos="0" w:leader="none"/>
        </w:tabs>
        <w:ind w:hanging="0" w:start="0" w:end="0"/>
        <w:rPr/>
      </w:pPr>
      <w:r>
        <w:rPr/>
      </w:r>
    </w:p>
    <w:p>
      <w:pPr>
        <w:pStyle w:val="MessageHeader"/>
        <w:tabs>
          <w:tab w:val="clear" w:pos="720"/>
          <w:tab w:val="left" w:pos="0" w:leader="none"/>
        </w:tabs>
        <w:ind w:hanging="0" w:start="0" w:end="0"/>
        <w:rPr>
          <w:b/>
          <w:u w:val="single"/>
        </w:rPr>
      </w:pPr>
      <w:r>
        <w:rPr>
          <w:b/>
          <w:u w:val="single"/>
        </w:rPr>
        <w:t>3 Review – Other Risk Variables</w:t>
      </w:r>
    </w:p>
    <w:p>
      <w:pPr>
        <w:pStyle w:val="MessageHeader"/>
        <w:tabs>
          <w:tab w:val="clear" w:pos="720"/>
          <w:tab w:val="left" w:pos="0" w:leader="none"/>
        </w:tabs>
        <w:ind w:hanging="0" w:start="0" w:end="0"/>
        <w:rPr/>
      </w:pPr>
      <w:r>
        <w:rPr/>
        <w:t>The present value of options and swaptions at the end of April was €9.08m (the vast majority of this value is accounted for by the Dutch Delfland option – see above) with maturities going out to 2001. This is mitigated by Delfland’s option premium of €(12.3)m. Net €(3.22)m.</w:t>
      </w:r>
    </w:p>
    <w:p>
      <w:pPr>
        <w:pStyle w:val="MessageHeader"/>
        <w:tabs>
          <w:tab w:val="clear" w:pos="720"/>
          <w:tab w:val="left" w:pos="0" w:leader="none"/>
        </w:tabs>
        <w:ind w:hanging="0" w:start="0" w:end="0"/>
        <w:rPr/>
      </w:pPr>
      <w:r>
        <w:rPr/>
      </w:r>
    </w:p>
    <w:p>
      <w:pPr>
        <w:pStyle w:val="MessageHeader"/>
        <w:tabs>
          <w:tab w:val="clear" w:pos="720"/>
          <w:tab w:val="left" w:pos="0" w:leader="none"/>
        </w:tabs>
        <w:ind w:hanging="0" w:start="0" w:end="0"/>
        <w:rPr/>
      </w:pPr>
      <w:r>
        <w:rPr/>
        <w:t>There are no market quotes for implied volatilities. Volatilities are implied from historical price curve movements and option trades, often with wide spreads.</w:t>
      </w:r>
    </w:p>
    <w:p>
      <w:pPr>
        <w:pStyle w:val="MessageHeader"/>
        <w:tabs>
          <w:tab w:val="clear" w:pos="720"/>
          <w:tab w:val="left" w:pos="0" w:leader="none"/>
        </w:tabs>
        <w:ind w:hanging="0" w:start="0" w:end="0"/>
        <w:rPr/>
      </w:pPr>
      <w:r>
        <w:rPr/>
      </w:r>
    </w:p>
    <w:p>
      <w:pPr>
        <w:pStyle w:val="MessageHeader"/>
        <w:tabs>
          <w:tab w:val="clear" w:pos="720"/>
          <w:tab w:val="left" w:pos="0" w:leader="none"/>
        </w:tabs>
        <w:ind w:hanging="0" w:start="0" w:end="0"/>
        <w:rPr/>
      </w:pPr>
      <w:r>
        <w:rPr/>
        <w:t>The current sensitivity to volatility is estimated to be €40,000 per vol point.</w:t>
      </w:r>
    </w:p>
    <w:p>
      <w:pPr>
        <w:pStyle w:val="BodyText"/>
        <w:spacing w:lineRule="auto" w:line="240"/>
        <w:rPr/>
      </w:pPr>
      <w:r>
        <w:rPr/>
      </w:r>
    </w:p>
    <w:p>
      <w:pPr>
        <w:pStyle w:val="BodyText"/>
        <w:spacing w:lineRule="auto" w:line="240"/>
        <w:rPr>
          <w:b/>
          <w:u w:val="single"/>
        </w:rPr>
      </w:pPr>
      <w:r>
        <w:rPr>
          <w:b/>
          <w:u w:val="single"/>
        </w:rPr>
        <w:t>C – P&amp;L Commentary</w:t>
      </w:r>
    </w:p>
    <w:p>
      <w:pPr>
        <w:pStyle w:val="BodyText"/>
        <w:spacing w:lineRule="auto" w:line="240"/>
        <w:rPr>
          <w:b/>
          <w:u w:val="single"/>
        </w:rPr>
      </w:pPr>
      <w:r>
        <w:rPr>
          <w:b/>
          <w:u w:val="single"/>
        </w:rPr>
      </w:r>
    </w:p>
    <w:p>
      <w:pPr>
        <w:pStyle w:val="BodyText"/>
        <w:spacing w:lineRule="auto" w:line="240"/>
        <w:rPr>
          <w:b/>
          <w:u w:val="single"/>
        </w:rPr>
      </w:pPr>
      <w:r>
        <w:rPr>
          <w:b/>
          <w:u w:val="single"/>
        </w:rPr>
        <w:t>1. Mark to Market changes</w:t>
      </w:r>
    </w:p>
    <w:p>
      <w:pPr>
        <w:pStyle w:val="BodyText"/>
        <w:spacing w:lineRule="auto" w:line="240"/>
        <w:rPr/>
      </w:pPr>
      <w:r>
        <w:rPr/>
        <w:t xml:space="preserve">The P&amp;L for April was </w:t>
      </w:r>
      <w:r>
        <w:rPr>
          <w:b/>
        </w:rPr>
        <w:t xml:space="preserve">€20,147,775 </w:t>
      </w:r>
      <w:r>
        <w:rPr/>
        <w:t>(March €20,750,497)</w:t>
      </w:r>
      <w:r>
        <w:rPr>
          <w:b/>
        </w:rPr>
        <w:t xml:space="preserve">. </w:t>
      </w:r>
      <w:r>
        <w:rPr/>
        <w:t>The majority of the change from March to April was mainly due to the introduction of Iberian SWAPS into the Continental Daily Position Report on 25 April 2000.</w:t>
      </w:r>
    </w:p>
    <w:p>
      <w:pPr>
        <w:pStyle w:val="BodyText"/>
        <w:numPr>
          <w:ilvl w:val="0"/>
          <w:numId w:val="0"/>
        </w:numPr>
        <w:spacing w:lineRule="auto" w:line="240"/>
        <w:ind w:hanging="0" w:start="0"/>
        <w:rPr>
          <w:b/>
          <w:u w:val="single"/>
        </w:rPr>
      </w:pPr>
      <w:r>
        <w:rPr>
          <w:b/>
          <w:u w:val="single"/>
        </w:rPr>
      </w:r>
    </w:p>
    <w:p>
      <w:pPr>
        <w:pStyle w:val="BodyText"/>
        <w:numPr>
          <w:ilvl w:val="0"/>
          <w:numId w:val="0"/>
        </w:numPr>
        <w:spacing w:lineRule="auto" w:line="240"/>
        <w:ind w:hanging="0" w:start="0"/>
        <w:rPr>
          <w:b/>
          <w:u w:val="single"/>
        </w:rPr>
      </w:pPr>
      <w:r>
        <w:rPr>
          <w:b/>
          <w:u w:val="single"/>
        </w:rPr>
        <w:t>2. Realised Profit</w:t>
      </w:r>
    </w:p>
    <w:p>
      <w:pPr>
        <w:pStyle w:val="BodyText"/>
        <w:numPr>
          <w:ilvl w:val="0"/>
          <w:numId w:val="0"/>
        </w:numPr>
        <w:spacing w:lineRule="auto" w:line="240"/>
        <w:ind w:hanging="0" w:start="0"/>
        <w:rPr/>
      </w:pPr>
      <w:r>
        <w:rPr/>
        <w:t xml:space="preserve">The realised loss for April was </w:t>
      </w:r>
      <w:r>
        <w:rPr>
          <w:b/>
        </w:rPr>
        <w:t>€(10,063,584)</w:t>
      </w:r>
      <w:r>
        <w:rPr/>
        <w:t xml:space="preserve"> (March €1.9m loss).</w:t>
      </w:r>
    </w:p>
    <w:p>
      <w:pPr>
        <w:pStyle w:val="BodyText"/>
        <w:numPr>
          <w:ilvl w:val="0"/>
          <w:numId w:val="4"/>
        </w:numPr>
        <w:spacing w:lineRule="auto" w:line="240"/>
        <w:rPr/>
      </w:pPr>
      <w:r>
        <w:rPr/>
        <w:t xml:space="preserve">Mark-To-Market Liquidations </w:t>
      </w:r>
      <w:r>
        <w:rPr>
          <w:b/>
        </w:rPr>
        <w:t>€578,046</w:t>
      </w:r>
      <w:r>
        <w:rPr/>
        <w:t xml:space="preserve"> loss majority attributable to Forwards and Exchange deals (March €(2,447,418)</w:t>
      </w:r>
      <w:r>
        <w:rPr>
          <w:b/>
        </w:rPr>
        <w:t xml:space="preserve"> </w:t>
      </w:r>
      <w:r>
        <w:rPr/>
        <w:t>loss). Any gains/losses on Exchange deals are adjusted for in Physical Liquidation Adjustments below.</w:t>
      </w:r>
    </w:p>
    <w:p>
      <w:pPr>
        <w:pStyle w:val="BodyText"/>
        <w:numPr>
          <w:ilvl w:val="0"/>
          <w:numId w:val="4"/>
        </w:numPr>
        <w:spacing w:lineRule="auto" w:line="240"/>
        <w:rPr/>
      </w:pPr>
      <w:r>
        <w:rPr/>
        <w:t xml:space="preserve">Prior Month Adjustments </w:t>
      </w:r>
      <w:r>
        <w:rPr>
          <w:b/>
        </w:rPr>
        <w:t>€(8,483,771)</w:t>
      </w:r>
      <w:r>
        <w:rPr/>
        <w:t xml:space="preserve"> loss (March €1.1m gain) mainly due to €(9,374,404) cash paid for the financial settlement of non-delivered Dutch power 1 Jan 2000 to 4 Feb 2000.</w:t>
      </w:r>
    </w:p>
    <w:p>
      <w:pPr>
        <w:pStyle w:val="BodyText"/>
        <w:numPr>
          <w:ilvl w:val="0"/>
          <w:numId w:val="4"/>
        </w:numPr>
        <w:spacing w:lineRule="auto" w:line="240"/>
        <w:rPr/>
      </w:pPr>
      <w:r>
        <w:rPr/>
        <w:t xml:space="preserve">Financial Liquidation Adjustments </w:t>
      </w:r>
      <w:r>
        <w:rPr>
          <w:b/>
        </w:rPr>
        <w:t>€(1,664,491)</w:t>
      </w:r>
      <w:r>
        <w:rPr/>
        <w:t xml:space="preserve"> loss (March €202,922 gain) due mainly to the introduction of calendar 2000 liquidated values for Iberian SWAPS transferred into the Continental Daily Position Report on 25 April 2000.</w:t>
      </w:r>
    </w:p>
    <w:p>
      <w:pPr>
        <w:pStyle w:val="BodyText"/>
        <w:numPr>
          <w:ilvl w:val="0"/>
          <w:numId w:val="4"/>
        </w:numPr>
        <w:spacing w:lineRule="auto" w:line="240"/>
        <w:rPr/>
      </w:pPr>
      <w:r>
        <w:rPr/>
        <w:t xml:space="preserve">Physical Liquidation Adjustments </w:t>
      </w:r>
      <w:r>
        <w:rPr>
          <w:b/>
        </w:rPr>
        <w:t>€(493,368)</w:t>
      </w:r>
      <w:r>
        <w:rPr/>
        <w:t xml:space="preserve"> loss mainly due to Option and Exchange adjustments (March €(854,494) loss).</w:t>
      </w:r>
    </w:p>
    <w:p>
      <w:pPr>
        <w:pStyle w:val="BodyText"/>
        <w:spacing w:lineRule="auto" w:line="240"/>
        <w:rPr/>
      </w:pPr>
      <w:r>
        <w:rPr/>
      </w:r>
    </w:p>
    <w:p>
      <w:pPr>
        <w:pStyle w:val="BodyText"/>
        <w:numPr>
          <w:ilvl w:val="0"/>
          <w:numId w:val="0"/>
        </w:numPr>
        <w:spacing w:lineRule="auto" w:line="240"/>
        <w:ind w:hanging="0" w:start="0"/>
        <w:rPr>
          <w:b/>
          <w:u w:val="single"/>
        </w:rPr>
      </w:pPr>
      <w:r>
        <w:rPr>
          <w:b/>
          <w:u w:val="single"/>
        </w:rPr>
      </w:r>
    </w:p>
    <w:p>
      <w:pPr>
        <w:pStyle w:val="BodyText"/>
        <w:numPr>
          <w:ilvl w:val="0"/>
          <w:numId w:val="0"/>
        </w:numPr>
        <w:spacing w:lineRule="auto" w:line="240"/>
        <w:ind w:hanging="0" w:start="0"/>
        <w:rPr>
          <w:b/>
          <w:u w:val="single"/>
        </w:rPr>
      </w:pPr>
      <w:r>
        <w:rPr>
          <w:b/>
          <w:u w:val="single"/>
        </w:rPr>
      </w:r>
    </w:p>
    <w:p>
      <w:pPr>
        <w:pStyle w:val="BodyText"/>
        <w:numPr>
          <w:ilvl w:val="0"/>
          <w:numId w:val="0"/>
        </w:numPr>
        <w:spacing w:lineRule="auto" w:line="240"/>
        <w:ind w:hanging="0" w:start="0"/>
        <w:rPr>
          <w:b/>
          <w:u w:val="single"/>
        </w:rPr>
      </w:pPr>
      <w:r>
        <w:rPr>
          <w:b/>
          <w:u w:val="single"/>
        </w:rPr>
        <w:t xml:space="preserve">3. Prudency    </w:t>
      </w:r>
    </w:p>
    <w:p>
      <w:pPr>
        <w:pStyle w:val="BodyText"/>
        <w:numPr>
          <w:ilvl w:val="0"/>
          <w:numId w:val="0"/>
        </w:numPr>
        <w:spacing w:lineRule="auto" w:line="240"/>
        <w:ind w:hanging="0" w:start="0"/>
        <w:rPr/>
      </w:pPr>
      <w:r>
        <w:rPr/>
        <w:t xml:space="preserve">Total prudency at 28th April was </w:t>
      </w:r>
      <w:r>
        <w:rPr>
          <w:b/>
        </w:rPr>
        <w:t>€(1,786,589)</w:t>
      </w:r>
      <w:r>
        <w:rPr/>
        <w:t xml:space="preserve"> (March €(1,821,602)). Total prudency is equal to the 2-day Value at Risk.</w:t>
      </w:r>
    </w:p>
    <w:p>
      <w:pPr>
        <w:pStyle w:val="BodyText"/>
        <w:spacing w:lineRule="auto" w:line="240" w:before="0" w:after="0"/>
        <w:rPr>
          <w:b/>
          <w:u w:val="single"/>
        </w:rPr>
      </w:pPr>
      <w:r>
        <w:rPr>
          <w:b/>
          <w:u w:val="single"/>
        </w:rPr>
      </w:r>
    </w:p>
    <w:p>
      <w:pPr>
        <w:pStyle w:val="BodyText"/>
        <w:spacing w:lineRule="auto" w:line="240" w:before="0" w:after="0"/>
        <w:rPr>
          <w:b/>
          <w:u w:val="single"/>
        </w:rPr>
      </w:pPr>
      <w:r>
        <w:rPr>
          <w:b/>
          <w:u w:val="single"/>
        </w:rPr>
        <w:t>4. Monthly Curve Moves</w:t>
      </w:r>
    </w:p>
    <w:p>
      <w:pPr>
        <w:pStyle w:val="BodyText"/>
        <w:spacing w:lineRule="auto" w:line="240" w:before="0" w:after="0"/>
        <w:rPr/>
      </w:pPr>
      <w:r>
        <w:rPr/>
      </w:r>
    </w:p>
    <w:p>
      <w:pPr>
        <w:pStyle w:val="BodyText"/>
        <w:spacing w:lineRule="auto" w:line="240" w:before="0" w:after="0"/>
        <w:rPr/>
      </w:pPr>
      <w:r>
        <w:rPr/>
        <w:t>Curve movements occurred in all curves (See Appendices D &amp; E). Frequent movement occurred in the front few months and balance of calendar 2000 (where liquidity is highest).  There were two specific movements, which resulted in large delta shift P&amp;L.</w:t>
      </w:r>
    </w:p>
    <w:p>
      <w:pPr>
        <w:pStyle w:val="BodyText"/>
        <w:spacing w:lineRule="auto" w:line="240" w:before="0" w:after="0"/>
        <w:rPr/>
      </w:pPr>
      <w:r>
        <w:rPr/>
      </w:r>
    </w:p>
    <w:p>
      <w:pPr>
        <w:pStyle w:val="BodyText"/>
        <w:spacing w:lineRule="auto" w:line="240" w:before="0" w:after="0"/>
        <w:rPr/>
      </w:pPr>
      <w:r>
        <w:rPr/>
        <w:t xml:space="preserve">The first occurred on 3 April 2000 due to the North German curve shifted and the APX curve moving down against a net short Financial position resulting in a gain of </w:t>
      </w:r>
      <w:r>
        <w:rPr>
          <w:b/>
        </w:rPr>
        <w:t>470,947</w:t>
      </w:r>
      <w:r>
        <w:rPr/>
        <w:t xml:space="preserve">. </w:t>
      </w:r>
    </w:p>
    <w:p>
      <w:pPr>
        <w:pStyle w:val="BodyText"/>
        <w:spacing w:lineRule="auto" w:line="240" w:before="0" w:after="0"/>
        <w:rPr/>
      </w:pPr>
      <w:r>
        <w:rPr/>
      </w:r>
    </w:p>
    <w:p>
      <w:pPr>
        <w:pStyle w:val="BodyText"/>
        <w:spacing w:lineRule="auto" w:line="240" w:before="0" w:after="0"/>
        <w:rPr/>
      </w:pPr>
      <w:r>
        <w:rPr/>
        <w:t xml:space="preserve">The second large movement occurred on 27 April 2000 when the APX curve shifted downwards in Q4 2000. Delta shift was </w:t>
      </w:r>
      <w:r>
        <w:rPr>
          <w:b/>
        </w:rPr>
        <w:t>€553,343</w:t>
      </w:r>
      <w:r>
        <w:rPr/>
        <w:t>.</w:t>
      </w:r>
    </w:p>
    <w:p>
      <w:pPr>
        <w:pStyle w:val="BodyText"/>
        <w:spacing w:lineRule="auto" w:line="240" w:before="0" w:after="0"/>
        <w:rPr/>
      </w:pPr>
      <w:r>
        <w:rPr/>
      </w:r>
    </w:p>
    <w:p>
      <w:pPr>
        <w:pStyle w:val="BodyText"/>
        <w:spacing w:lineRule="auto" w:line="240" w:before="0" w:after="0"/>
        <w:rPr/>
      </w:pPr>
      <w:r>
        <w:rPr/>
        <w:t xml:space="preserve">The total Delta shift was </w:t>
      </w:r>
      <w:r>
        <w:rPr>
          <w:b/>
        </w:rPr>
        <w:t>€866,567</w:t>
      </w:r>
      <w:r>
        <w:rPr/>
        <w:t>.</w:t>
      </w:r>
    </w:p>
    <w:p>
      <w:pPr>
        <w:pStyle w:val="BodyText"/>
        <w:spacing w:lineRule="auto" w:line="240" w:before="0" w:after="0"/>
        <w:rPr/>
      </w:pPr>
      <w:r>
        <w:rPr/>
      </w:r>
    </w:p>
    <w:p>
      <w:pPr>
        <w:pStyle w:val="BodyText"/>
        <w:spacing w:lineRule="auto" w:line="240" w:before="0" w:after="0"/>
        <w:rPr/>
      </w:pPr>
      <w:r>
        <w:rPr/>
      </w:r>
    </w:p>
    <w:p>
      <w:pPr>
        <w:pStyle w:val="BodyText"/>
        <w:spacing w:lineRule="auto" w:line="240"/>
        <w:rPr>
          <w:u w:val="single"/>
        </w:rPr>
      </w:pPr>
      <w:r>
        <w:rPr>
          <w:b/>
          <w:u w:val="single"/>
        </w:rPr>
        <w:t>6. Summary of Current Position</w:t>
      </w:r>
    </w:p>
    <w:p>
      <w:pPr>
        <w:pStyle w:val="BodyText"/>
        <w:spacing w:lineRule="auto" w:line="240"/>
        <w:rPr/>
      </w:pPr>
      <w:r>
        <w:rPr/>
        <w:t>The position as at 28 April 2000 was 7.7 TWh long compared to 6.9 TWh long as at 31 March 2000. The main changes in position were in the North Germany, Laufenburg, APX and Italy:</w:t>
      </w:r>
    </w:p>
    <w:p>
      <w:pPr>
        <w:pStyle w:val="BodyText"/>
        <w:spacing w:lineRule="auto" w:line="240"/>
        <w:rPr/>
      </w:pPr>
      <w:r>
        <w:rPr/>
        <w:t>For a graphic representation of Peak and Off-Peak positions by country see Appendix F.</w:t>
      </w:r>
    </w:p>
    <w:p>
      <w:pPr>
        <w:pStyle w:val="BodyText"/>
        <w:spacing w:lineRule="auto" w:line="240"/>
        <w:rPr>
          <w:b/>
        </w:rPr>
      </w:pPr>
      <w:r>
        <w:rPr>
          <w:b/>
        </w:rPr>
      </w:r>
    </w:p>
    <w:p>
      <w:pPr>
        <w:pStyle w:val="BodyText"/>
        <w:spacing w:lineRule="auto" w:line="240"/>
        <w:ind w:end="-145"/>
        <w:rPr>
          <w:b/>
          <w:u w:val="single"/>
        </w:rPr>
      </w:pPr>
      <w:r>
        <w:rPr>
          <w:b/>
          <w:u w:val="single"/>
        </w:rPr>
        <w:t>7. Value at Risk</w:t>
      </w:r>
    </w:p>
    <w:p>
      <w:pPr>
        <w:pStyle w:val="BodyText"/>
        <w:spacing w:lineRule="auto" w:line="240"/>
        <w:rPr/>
      </w:pPr>
      <w:r>
        <w:rPr/>
        <w:t>The 1 day value at risk as at 28</w:t>
      </w:r>
      <w:r>
        <w:rPr>
          <w:vertAlign w:val="superscript"/>
        </w:rPr>
        <w:t>th</w:t>
      </w:r>
      <w:r>
        <w:rPr/>
        <w:t xml:space="preserve"> April was €(1,263,309)</w:t>
      </w:r>
      <w:r>
        <w:rPr>
          <w:b/>
        </w:rPr>
        <w:t xml:space="preserve"> </w:t>
      </w:r>
      <w:r>
        <w:rPr/>
        <w:t>using a 5% 1 tail confidence interval (March €(1,288,306)).</w:t>
      </w:r>
    </w:p>
    <w:p>
      <w:pPr>
        <w:pStyle w:val="BodyText"/>
        <w:spacing w:lineRule="auto" w:line="240"/>
        <w:rPr/>
      </w:pPr>
      <w:r>
        <w:rPr/>
      </w:r>
    </w:p>
    <w:p>
      <w:pPr>
        <w:pStyle w:val="BodyText"/>
        <w:spacing w:lineRule="auto" w:line="240"/>
        <w:rPr/>
      </w:pPr>
      <w:r>
        <w:rPr>
          <w:b/>
          <w:u w:val="single"/>
        </w:rPr>
        <w:t>8. Monthly analysis of P&amp;L due to Curve shift and Originations</w:t>
      </w:r>
    </w:p>
    <w:p>
      <w:pPr>
        <w:pStyle w:val="BodyText"/>
        <w:spacing w:lineRule="auto" w:line="240"/>
        <w:rPr/>
      </w:pPr>
      <w:r>
        <w:rPr/>
        <w:t>For a full analysis of the current month’s ‘Greeks’, origination, prudency and ‘other’ is included in Appendix D.</w:t>
      </w:r>
    </w:p>
    <w:p>
      <w:pPr>
        <w:pStyle w:val="BodyText"/>
        <w:spacing w:lineRule="auto" w:line="240"/>
        <w:rPr/>
      </w:pPr>
      <w:r>
        <w:rPr/>
        <w:t xml:space="preserve">April’s P&amp;L of </w:t>
      </w:r>
      <w:r>
        <w:rPr>
          <w:b/>
        </w:rPr>
        <w:t>€(151,838)</w:t>
      </w:r>
      <w:r>
        <w:rPr/>
        <w:t xml:space="preserve"> consisted of the following:</w:t>
      </w:r>
    </w:p>
    <w:p>
      <w:pPr>
        <w:pStyle w:val="BodyText"/>
        <w:numPr>
          <w:ilvl w:val="0"/>
          <w:numId w:val="6"/>
        </w:numPr>
        <w:spacing w:lineRule="auto" w:line="240"/>
        <w:rPr/>
      </w:pPr>
      <w:r>
        <w:rPr/>
        <w:t>€</w:t>
      </w:r>
      <w:r>
        <w:rPr/>
        <w:t>9,906,138 movement in transmission reserves (not including MTM transmission) mainly due a release of provision against financial settlement of non-delivered Dutch physical power Jan-Feb 2000,</w:t>
      </w:r>
    </w:p>
    <w:p>
      <w:pPr>
        <w:pStyle w:val="BodyText"/>
        <w:numPr>
          <w:ilvl w:val="0"/>
          <w:numId w:val="6"/>
        </w:numPr>
        <w:spacing w:lineRule="auto" w:line="240"/>
        <w:rPr/>
      </w:pPr>
      <w:r>
        <w:rPr/>
        <w:t>Prior Month Adjustment of €(8,483,771) mainly due to cash settled on financial compensation for non-delivered Dutch physical power,</w:t>
      </w:r>
    </w:p>
    <w:p>
      <w:pPr>
        <w:pStyle w:val="BodyText"/>
        <w:numPr>
          <w:ilvl w:val="0"/>
          <w:numId w:val="6"/>
        </w:numPr>
        <w:spacing w:lineRule="auto" w:line="240"/>
        <w:rPr/>
      </w:pPr>
      <w:r>
        <w:rPr/>
        <w:t>a loss of €(984,445) on MTM of Dutch/German border transmission,</w:t>
      </w:r>
    </w:p>
    <w:p>
      <w:pPr>
        <w:pStyle w:val="BodyText"/>
        <w:numPr>
          <w:ilvl w:val="0"/>
          <w:numId w:val="6"/>
        </w:numPr>
        <w:spacing w:lineRule="auto" w:line="240"/>
        <w:rPr/>
      </w:pPr>
      <w:r>
        <w:rPr/>
        <w:t>a gain of €866,567 in curve shifts,</w:t>
      </w:r>
    </w:p>
    <w:p>
      <w:pPr>
        <w:pStyle w:val="BodyText"/>
        <w:numPr>
          <w:ilvl w:val="0"/>
          <w:numId w:val="6"/>
        </w:numPr>
        <w:spacing w:lineRule="auto" w:line="240"/>
        <w:rPr/>
      </w:pPr>
      <w:r>
        <w:rPr/>
        <w:t>Greeks of €1,062,427 mainly due to Gamma on the overall long Option position,</w:t>
      </w:r>
    </w:p>
    <w:p>
      <w:pPr>
        <w:pStyle w:val="BodyText"/>
        <w:numPr>
          <w:ilvl w:val="0"/>
          <w:numId w:val="6"/>
        </w:numPr>
        <w:spacing w:lineRule="auto" w:line="240"/>
        <w:rPr/>
      </w:pPr>
      <w:r>
        <w:rPr/>
        <w:t>New Origination of €1,100,650,</w:t>
      </w:r>
    </w:p>
    <w:p>
      <w:pPr>
        <w:pStyle w:val="BodyText"/>
        <w:numPr>
          <w:ilvl w:val="0"/>
          <w:numId w:val="6"/>
        </w:numPr>
        <w:spacing w:lineRule="auto" w:line="240"/>
        <w:rPr/>
      </w:pPr>
      <w:r>
        <w:rPr/>
        <w:t>Brought forward/Carried forward of €(1,474,381), and</w:t>
      </w:r>
    </w:p>
    <w:p>
      <w:pPr>
        <w:pStyle w:val="BodyText"/>
        <w:numPr>
          <w:ilvl w:val="0"/>
          <w:numId w:val="6"/>
        </w:numPr>
        <w:spacing w:lineRule="auto" w:line="240"/>
        <w:rPr/>
      </w:pPr>
      <w:r>
        <w:rPr/>
        <w:t>Liquidation Adjustments of €(2,157,858).</w:t>
      </w:r>
    </w:p>
    <w:p>
      <w:pPr>
        <w:pStyle w:val="MessageHeader"/>
        <w:tabs>
          <w:tab w:val="clear" w:pos="720"/>
          <w:tab w:val="left" w:pos="0" w:leader="none"/>
        </w:tabs>
        <w:ind w:hanging="0" w:start="0" w:end="0"/>
        <w:rPr/>
      </w:pPr>
      <w:r>
        <w:rPr/>
      </w:r>
    </w:p>
    <w:p>
      <w:pPr>
        <w:pStyle w:val="MessageHeader"/>
        <w:tabs>
          <w:tab w:val="clear" w:pos="720"/>
          <w:tab w:val="left" w:pos="0" w:leader="none"/>
        </w:tabs>
        <w:ind w:hanging="0" w:start="0" w:end="0"/>
        <w:rPr/>
      </w:pPr>
      <w:r>
        <w:rPr/>
      </w:r>
    </w:p>
    <w:p>
      <w:pPr>
        <w:pStyle w:val="MessageHeader"/>
        <w:tabs>
          <w:tab w:val="clear" w:pos="720"/>
          <w:tab w:val="left" w:pos="0" w:leader="none"/>
        </w:tabs>
        <w:ind w:hanging="0" w:start="0" w:end="0"/>
        <w:rPr>
          <w:b/>
        </w:rPr>
      </w:pPr>
      <w:r>
        <w:rPr>
          <w:b/>
        </w:rPr>
      </w:r>
    </w:p>
    <w:p>
      <w:pPr>
        <w:pStyle w:val="MessageHeader"/>
        <w:tabs>
          <w:tab w:val="clear" w:pos="720"/>
          <w:tab w:val="left" w:pos="0" w:leader="none"/>
        </w:tabs>
        <w:ind w:hanging="0" w:start="0" w:end="0"/>
        <w:rPr>
          <w:b/>
        </w:rPr>
      </w:pPr>
      <w:r>
        <w:rPr>
          <w:b/>
        </w:rPr>
      </w:r>
    </w:p>
    <w:p>
      <w:pPr>
        <w:pStyle w:val="MessageHeader"/>
        <w:tabs>
          <w:tab w:val="clear" w:pos="720"/>
          <w:tab w:val="left" w:pos="0" w:leader="none"/>
        </w:tabs>
        <w:ind w:hanging="0" w:start="0" w:end="0"/>
        <w:rPr>
          <w:b/>
        </w:rPr>
      </w:pPr>
      <w:r>
        <w:rPr>
          <w:b/>
        </w:rPr>
      </w:r>
    </w:p>
    <w:p>
      <w:pPr>
        <w:pStyle w:val="MessageHeader"/>
        <w:tabs>
          <w:tab w:val="clear" w:pos="720"/>
          <w:tab w:val="left" w:pos="0" w:leader="none"/>
        </w:tabs>
        <w:ind w:hanging="0" w:start="0" w:end="0"/>
        <w:rPr>
          <w:b/>
        </w:rPr>
      </w:pPr>
      <w:r>
        <w:rPr>
          <w:b/>
        </w:rPr>
      </w:r>
    </w:p>
    <w:p>
      <w:pPr>
        <w:pStyle w:val="MessageHeader"/>
        <w:tabs>
          <w:tab w:val="clear" w:pos="720"/>
          <w:tab w:val="left" w:pos="0" w:leader="none"/>
        </w:tabs>
        <w:ind w:hanging="0" w:start="0" w:end="0"/>
        <w:rPr>
          <w:b/>
        </w:rPr>
      </w:pPr>
      <w:r>
        <w:rPr>
          <w:b/>
        </w:rPr>
      </w:r>
    </w:p>
    <w:p>
      <w:pPr>
        <w:pStyle w:val="MessageHeader"/>
        <w:tabs>
          <w:tab w:val="clear" w:pos="720"/>
          <w:tab w:val="left" w:pos="0" w:leader="none"/>
        </w:tabs>
        <w:ind w:hanging="0" w:start="0" w:end="0"/>
        <w:rPr>
          <w:b/>
        </w:rPr>
      </w:pPr>
      <w:r>
        <w:rPr>
          <w:b/>
        </w:rPr>
      </w:r>
    </w:p>
    <w:p>
      <w:pPr>
        <w:pStyle w:val="MessageHeader"/>
        <w:tabs>
          <w:tab w:val="clear" w:pos="720"/>
          <w:tab w:val="left" w:pos="0" w:leader="none"/>
        </w:tabs>
        <w:ind w:hanging="0" w:start="0" w:end="0"/>
        <w:rPr>
          <w:b/>
        </w:rPr>
      </w:pPr>
      <w:r>
        <w:rPr>
          <w:b/>
        </w:rPr>
      </w:r>
    </w:p>
    <w:p>
      <w:pPr>
        <w:pStyle w:val="MessageHeader"/>
        <w:tabs>
          <w:tab w:val="clear" w:pos="720"/>
          <w:tab w:val="left" w:pos="0" w:leader="none"/>
        </w:tabs>
        <w:ind w:hanging="0" w:start="0" w:end="0"/>
        <w:rPr>
          <w:b/>
        </w:rPr>
      </w:pPr>
      <w:r>
        <w:rPr>
          <w:b/>
        </w:rPr>
      </w:r>
    </w:p>
    <w:p>
      <w:pPr>
        <w:pStyle w:val="MessageHeader"/>
        <w:tabs>
          <w:tab w:val="clear" w:pos="720"/>
          <w:tab w:val="left" w:pos="0" w:leader="none"/>
        </w:tabs>
        <w:ind w:hanging="0" w:start="0" w:end="0"/>
        <w:rPr>
          <w:b/>
        </w:rPr>
      </w:pPr>
      <w:r>
        <w:rPr>
          <w:b/>
        </w:rPr>
      </w:r>
    </w:p>
    <w:p>
      <w:pPr>
        <w:pStyle w:val="MessageHeader"/>
        <w:tabs>
          <w:tab w:val="clear" w:pos="720"/>
          <w:tab w:val="left" w:pos="0" w:leader="none"/>
        </w:tabs>
        <w:ind w:hanging="0" w:start="0" w:end="0"/>
        <w:rPr>
          <w:b/>
        </w:rPr>
      </w:pPr>
      <w:r>
        <w:rPr>
          <w:b/>
        </w:rPr>
      </w:r>
    </w:p>
    <w:p>
      <w:pPr>
        <w:pStyle w:val="MessageHeader"/>
        <w:tabs>
          <w:tab w:val="clear" w:pos="720"/>
          <w:tab w:val="left" w:pos="0" w:leader="none"/>
        </w:tabs>
        <w:ind w:hanging="0" w:start="0" w:end="0"/>
        <w:rPr>
          <w:b/>
        </w:rPr>
      </w:pPr>
      <w:r>
        <w:rPr>
          <w:b/>
        </w:rPr>
        <w:t>Appendix A</w:t>
      </w:r>
    </w:p>
    <w:p>
      <w:pPr>
        <w:pStyle w:val="BodyText"/>
        <w:spacing w:lineRule="auto" w:line="240"/>
        <w:rPr>
          <w:b/>
        </w:rPr>
      </w:pPr>
      <w:r>
        <w:rPr/>
        <w:t>Broker Quotes &amp; Trader Curves</w:t>
      </w:r>
    </w:p>
    <w:p>
      <w:pPr>
        <w:pStyle w:val="BodyText"/>
        <w:spacing w:lineRule="auto" w:line="240"/>
        <w:rPr>
          <w:b/>
        </w:rPr>
      </w:pPr>
      <w:r>
        <w:rPr>
          <w:b/>
        </w:rPr>
        <w:t>Appendix B</w:t>
      </w:r>
    </w:p>
    <w:p>
      <w:pPr>
        <w:pStyle w:val="BodyText"/>
        <w:spacing w:lineRule="auto" w:line="240"/>
        <w:rPr>
          <w:b/>
        </w:rPr>
      </w:pPr>
      <w:r>
        <w:rPr/>
        <w:t>Analysis of P&amp;L MTM year-to-date</w:t>
      </w:r>
    </w:p>
    <w:p>
      <w:pPr>
        <w:pStyle w:val="BodyText"/>
        <w:spacing w:lineRule="auto" w:line="240"/>
        <w:rPr>
          <w:b/>
        </w:rPr>
      </w:pPr>
      <w:r>
        <w:rPr>
          <w:b/>
        </w:rPr>
        <w:t>Appendix C</w:t>
      </w:r>
    </w:p>
    <w:p>
      <w:pPr>
        <w:pStyle w:val="BodyText"/>
        <w:spacing w:lineRule="auto" w:line="240"/>
        <w:rPr/>
      </w:pPr>
      <w:r>
        <w:rPr/>
        <w:t>MTM Transmission (at Dutch/German Border) Memo</w:t>
      </w:r>
    </w:p>
    <w:p>
      <w:pPr>
        <w:pStyle w:val="BodyText"/>
        <w:spacing w:lineRule="auto" w:line="240"/>
        <w:rPr>
          <w:b/>
        </w:rPr>
      </w:pPr>
      <w:r>
        <w:rPr>
          <w:b/>
        </w:rPr>
        <w:t>Appendix D</w:t>
      </w:r>
    </w:p>
    <w:p>
      <w:pPr>
        <w:pStyle w:val="BodyText"/>
        <w:spacing w:lineRule="auto" w:line="240"/>
        <w:rPr>
          <w:b/>
        </w:rPr>
      </w:pPr>
      <w:r>
        <w:rPr/>
        <w:t>Analysis of P&amp;L Movements by day</w:t>
      </w:r>
    </w:p>
    <w:p>
      <w:pPr>
        <w:pStyle w:val="BodyText"/>
        <w:spacing w:lineRule="auto" w:line="240"/>
        <w:rPr>
          <w:b/>
        </w:rPr>
      </w:pPr>
      <w:r>
        <w:rPr>
          <w:b/>
        </w:rPr>
        <w:t>Appendix E</w:t>
      </w:r>
    </w:p>
    <w:p>
      <w:pPr>
        <w:pStyle w:val="BodyText"/>
        <w:spacing w:lineRule="auto" w:line="240"/>
        <w:rPr/>
      </w:pPr>
      <w:r>
        <w:rPr/>
        <w:t>Curve Movement Graphs</w:t>
      </w:r>
    </w:p>
    <w:p>
      <w:pPr>
        <w:pStyle w:val="BodyText"/>
        <w:spacing w:lineRule="auto" w:line="240"/>
        <w:rPr>
          <w:b/>
        </w:rPr>
      </w:pPr>
      <w:r>
        <w:rPr>
          <w:b/>
        </w:rPr>
        <w:t>Appendix F</w:t>
      </w:r>
    </w:p>
    <w:p>
      <w:pPr>
        <w:pStyle w:val="Normal"/>
        <w:rPr/>
      </w:pPr>
      <w:r>
        <w:rPr/>
        <w:t>Peaks &amp; Off-Peaks Position Graphs</w:t>
      </w:r>
    </w:p>
    <w:p>
      <w:pPr>
        <w:pStyle w:val="Normal"/>
        <w:rPr/>
      </w:pPr>
      <w:r>
        <w:rPr/>
      </w:r>
    </w:p>
    <w:p>
      <w:pPr>
        <w:pStyle w:val="BodyText"/>
        <w:spacing w:lineRule="auto" w:line="240"/>
        <w:rPr>
          <w:b/>
        </w:rPr>
      </w:pPr>
      <w:r>
        <w:rPr>
          <w:b/>
        </w:rPr>
        <w:t>Appendix G</w:t>
      </w:r>
    </w:p>
    <w:p>
      <w:pPr>
        <w:pStyle w:val="Normal"/>
        <w:rPr/>
      </w:pPr>
      <w:r>
        <w:rPr/>
        <w:t>Basis Differential on Continental Curves</w:t>
      </w:r>
    </w:p>
    <w:p>
      <w:pPr>
        <w:pStyle w:val="Normal"/>
        <w:rPr/>
      </w:pPr>
      <w:r>
        <w:rPr/>
      </w:r>
    </w:p>
    <w:sectPr>
      <w:headerReference w:type="default" r:id="rId6"/>
      <w:footerReference w:type="default" r:id="rId7"/>
      <w:type w:val="nextPage"/>
      <w:pgSz w:w="11906" w:h="16838"/>
      <w:pgMar w:left="1797" w:right="1797" w:gutter="0" w:header="720" w:top="1684"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rPr/>
    </w:pPr>
    <w:r>
      <w:rPr/>
      <w:tab/>
      <w:t>Interoffice Memo</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83"/>
        </w:tabs>
        <w:ind w:start="1003" w:hanging="283"/>
      </w:pPr>
    </w:lvl>
  </w:abstractNum>
  <w:abstractNum w:abstractNumId="3">
    <w:lvl w:ilvl="0">
      <w:start w:val="1"/>
      <w:numFmt w:val="decimal"/>
      <w:lvlText w:val="%1."/>
      <w:lvlJc w:val="start"/>
      <w:pPr>
        <w:tabs>
          <w:tab w:val="num" w:pos="283"/>
        </w:tabs>
        <w:ind w:start="1003" w:hanging="283"/>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283"/>
        </w:tabs>
        <w:ind w:start="1003" w:hanging="283"/>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1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GB" w:eastAsia="zh-CN" w:bidi="hi-IN"/>
    </w:rPr>
  </w:style>
  <w:style w:type="paragraph" w:styleId="Heading1">
    <w:name w:val="heading 1"/>
    <w:basedOn w:val="HeadingBase"/>
    <w:next w:val="BodyText"/>
    <w:qFormat/>
    <w:pPr>
      <w:numPr>
        <w:ilvl w:val="0"/>
        <w:numId w:val="1"/>
      </w:numPr>
      <w:spacing w:lineRule="atLeast" w:line="200" w:before="0" w:after="220"/>
      <w:outlineLvl w:val="0"/>
    </w:pPr>
    <w:rPr>
      <w:sz w:val="22"/>
    </w:rPr>
  </w:style>
  <w:style w:type="paragraph" w:styleId="Heading2">
    <w:name w:val="heading 2"/>
    <w:basedOn w:val="HeadingBase"/>
    <w:next w:val="BodyText"/>
    <w:qFormat/>
    <w:pPr>
      <w:numPr>
        <w:ilvl w:val="1"/>
        <w:numId w:val="1"/>
      </w:numPr>
      <w:spacing w:lineRule="atLeast" w:line="200"/>
      <w:outlineLvl w:val="1"/>
    </w:pPr>
    <w:rPr/>
  </w:style>
  <w:style w:type="paragraph" w:styleId="Heading3">
    <w:name w:val="heading 3"/>
    <w:basedOn w:val="HeadingBase"/>
    <w:next w:val="BodyText"/>
    <w:qFormat/>
    <w:pPr>
      <w:numPr>
        <w:ilvl w:val="2"/>
        <w:numId w:val="1"/>
      </w:numPr>
      <w:ind w:hanging="0" w:start="360" w:end="0"/>
      <w:outlineLvl w:val="2"/>
    </w:pPr>
    <w:rPr>
      <w:spacing w:val="-5"/>
    </w:rPr>
  </w:style>
  <w:style w:type="paragraph" w:styleId="Heading4">
    <w:name w:val="heading 4"/>
    <w:basedOn w:val="HeadingBase"/>
    <w:next w:val="BodyText"/>
    <w:qFormat/>
    <w:pPr>
      <w:numPr>
        <w:ilvl w:val="3"/>
        <w:numId w:val="1"/>
      </w:numPr>
      <w:ind w:hanging="0" w:start="720" w:end="0"/>
      <w:outlineLvl w:val="3"/>
    </w:pPr>
    <w:rPr>
      <w:spacing w:val="-2"/>
      <w:sz w:val="18"/>
    </w:rPr>
  </w:style>
  <w:style w:type="paragraph" w:styleId="Heading5">
    <w:name w:val="heading 5"/>
    <w:basedOn w:val="HeadingBase"/>
    <w:next w:val="BodyText"/>
    <w:qFormat/>
    <w:pPr>
      <w:numPr>
        <w:ilvl w:val="4"/>
        <w:numId w:val="1"/>
      </w:numPr>
      <w:ind w:hanging="0" w:start="1080" w:end="0"/>
      <w:outlineLvl w:val="4"/>
    </w:pPr>
    <w:rPr>
      <w:spacing w:val="-2"/>
      <w:sz w:val="18"/>
    </w:rPr>
  </w:style>
  <w:style w:type="paragraph" w:styleId="Heading6">
    <w:name w:val="heading 6"/>
    <w:basedOn w:val="HeadingBase"/>
    <w:next w:val="BodyText"/>
    <w:qFormat/>
    <w:pPr>
      <w:numPr>
        <w:ilvl w:val="5"/>
        <w:numId w:val="1"/>
      </w:numPr>
      <w:ind w:hanging="0" w:start="1440" w:end="0"/>
      <w:outlineLvl w:val="5"/>
    </w:pPr>
    <w:rPr>
      <w:spacing w:val="-4"/>
      <w:sz w:val="18"/>
    </w:rPr>
  </w:style>
  <w:style w:type="paragraph" w:styleId="Heading7">
    <w:name w:val="heading 7"/>
    <w:basedOn w:val="HeadingBase"/>
    <w:next w:val="BodyText"/>
    <w:qFormat/>
    <w:pPr>
      <w:numPr>
        <w:ilvl w:val="6"/>
        <w:numId w:val="1"/>
      </w:numPr>
      <w:ind w:hanging="0" w:start="1800" w:end="0"/>
      <w:outlineLvl w:val="6"/>
    </w:pPr>
    <w:rPr>
      <w:spacing w:val="-4"/>
      <w:sz w:val="18"/>
    </w:rPr>
  </w:style>
  <w:style w:type="paragraph" w:styleId="Heading8">
    <w:name w:val="heading 8"/>
    <w:basedOn w:val="HeadingBase"/>
    <w:next w:val="BodyText"/>
    <w:qFormat/>
    <w:pPr>
      <w:numPr>
        <w:ilvl w:val="7"/>
        <w:numId w:val="1"/>
      </w:numPr>
      <w:ind w:hanging="0" w:start="2160" w:end="0"/>
      <w:outlineLvl w:val="7"/>
    </w:pPr>
    <w:rPr>
      <w:spacing w:val="-4"/>
      <w:sz w:val="18"/>
    </w:rPr>
  </w:style>
  <w:style w:type="paragraph" w:styleId="Heading9">
    <w:name w:val="heading 9"/>
    <w:basedOn w:val="HeadingBase"/>
    <w:next w:val="BodyText"/>
    <w:qFormat/>
    <w:pPr>
      <w:numPr>
        <w:ilvl w:val="8"/>
        <w:numId w:val="1"/>
      </w:numPr>
      <w:ind w:hanging="0" w:start="2520" w:end="0"/>
      <w:outlineLvl w:val="8"/>
    </w:pPr>
    <w:rPr>
      <w:spacing w:val="-4"/>
      <w:sz w:val="18"/>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St11z0">
    <w:name w:val="WW8NumSt11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Lead-inEmphasis">
    <w:name w:val="Lead-in Emphasis"/>
    <w:qFormat/>
    <w:rPr>
      <w:rFonts w:ascii="Arial Black" w:hAnsi="Arial Black" w:cs="Arial Black"/>
      <w:sz w:val="18"/>
    </w:rPr>
  </w:style>
  <w:style w:type="character" w:styleId="LineNumber">
    <w:name w:val="line number"/>
    <w:basedOn w:val="DefaultParagraphFont"/>
    <w:rPr>
      <w:sz w:val="18"/>
    </w:rPr>
  </w:style>
  <w:style w:type="character" w:styleId="PageNumber">
    <w:name w:val="page number"/>
    <w:basedOn w:val="DefaultParagraphFont"/>
    <w:rPr>
      <w:sz w:val="18"/>
    </w:rPr>
  </w:style>
  <w:style w:type="character" w:styleId="Superscript">
    <w:name w:val="Superscript"/>
    <w:qFormat/>
    <w:rPr>
      <w:vertAlign w:val="superscript"/>
    </w:rPr>
  </w:style>
  <w:style w:type="character" w:styleId="MessageHeaderLabel">
    <w:name w:val="Message Header Label"/>
    <w:qFormat/>
    <w:rPr>
      <w:rFonts w:ascii="Arial Black" w:hAnsi="Arial Black" w:cs="Arial Black"/>
      <w:spacing w:val="-10"/>
      <w:sz w:val="18"/>
    </w:rPr>
  </w:style>
  <w:style w:type="character" w:styleId="Emphasis">
    <w:name w:val="Emphasis"/>
    <w:qFormat/>
    <w:rPr>
      <w:rFonts w:ascii="Arial Black" w:hAnsi="Arial Black" w:cs="Arial Black"/>
      <w:sz w:val="18"/>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style>
  <w:style w:type="paragraph" w:styleId="List">
    <w:name w:val="List"/>
    <w:basedOn w:val="BodyText"/>
    <w:pPr>
      <w:ind w:hanging="360" w:start="360" w:end="0"/>
    </w:pPr>
    <w:rPr/>
  </w:style>
  <w:style w:type="paragraph" w:styleId="Caption">
    <w:name w:val="caption"/>
    <w:basedOn w:val="Picture"/>
    <w:next w:val="BodyText"/>
    <w:qFormat/>
    <w:pPr>
      <w:spacing w:lineRule="atLeast" w:line="220"/>
    </w:pPr>
    <w:rPr>
      <w:i/>
      <w:sz w:val="18"/>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FootnoteBase">
    <w:name w:val="Footnote Base"/>
    <w:basedOn w:val="BodyText"/>
    <w:qFormat/>
    <w:pPr>
      <w:keepLines/>
      <w:spacing w:lineRule="atLeast" w:line="200"/>
    </w:pPr>
    <w:rPr>
      <w:sz w:val="16"/>
    </w:rPr>
  </w:style>
  <w:style w:type="paragraph" w:styleId="MessageHeader">
    <w:name w:val="Message Header"/>
    <w:basedOn w:val="BodyText"/>
    <w:qFormat/>
    <w:pPr>
      <w:keepLines/>
      <w:tabs>
        <w:tab w:val="left" w:pos="720" w:leader="none"/>
      </w:tabs>
      <w:spacing w:before="0" w:after="120"/>
      <w:ind w:hanging="720" w:start="720" w:end="0"/>
      <w:jc w:val="start"/>
    </w:pPr>
    <w:rPr/>
  </w:style>
  <w:style w:type="paragraph" w:styleId="BlockQuotation">
    <w:name w:val="Block Quotation"/>
    <w:basedOn w:val="BodyText"/>
    <w:qFormat/>
    <w:pPr>
      <w:keepLines/>
      <w:ind w:hanging="0" w:start="720" w:end="72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DocumentLabel">
    <w:name w:val="Document Label"/>
    <w:basedOn w:val="HeadingBase"/>
    <w:next w:val="MessageHeaderFirst"/>
    <w:qFormat/>
    <w:pPr>
      <w:spacing w:lineRule="atLeast" w:line="240" w:before="400" w:after="120"/>
      <w:ind w:hanging="0" w:start="-840" w:end="0"/>
    </w:pPr>
    <w:rPr>
      <w:spacing w:val="0"/>
      <w:sz w:val="108"/>
    </w:rPr>
  </w:style>
  <w:style w:type="paragraph" w:styleId="MessageHeaderFirst">
    <w:name w:val="Message Header First"/>
    <w:basedOn w:val="MessageHeader"/>
    <w:next w:val="MessageHeader"/>
    <w:qFormat/>
    <w:pPr>
      <w:spacing w:before="220" w:after="120"/>
    </w:pPr>
    <w:rPr/>
  </w:style>
  <w:style w:type="paragraph" w:styleId="EndnoteText">
    <w:name w:val="endnote text"/>
    <w:basedOn w:val="FootnoteBase"/>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FootnoteText">
    <w:name w:val="footnote text"/>
    <w:basedOn w:val="FootnoteBase"/>
    <w:pPr/>
    <w:rPr/>
  </w:style>
  <w:style w:type="paragraph" w:styleId="Header">
    <w:name w:val="header"/>
    <w:basedOn w:val="HeaderBase"/>
    <w:pPr>
      <w:spacing w:before="0" w:after="600"/>
    </w:pPr>
    <w:rPr/>
  </w:style>
  <w:style w:type="paragraph" w:styleId="ListBullet">
    <w:name w:val="List Bullet"/>
    <w:basedOn w:val="List"/>
    <w:qFormat/>
    <w:pPr>
      <w:numPr>
        <w:ilvl w:val="0"/>
        <w:numId w:val="7"/>
      </w:numPr>
      <w:ind w:hanging="360" w:start="720" w:end="720"/>
    </w:pPr>
    <w:rPr/>
  </w:style>
  <w:style w:type="paragraph" w:styleId="ListNumber">
    <w:name w:val="List Number"/>
    <w:basedOn w:val="List"/>
    <w:qFormat/>
    <w:pPr>
      <w:numPr>
        <w:ilvl w:val="0"/>
        <w:numId w:val="8"/>
      </w:numPr>
      <w:ind w:hanging="360" w:start="720" w:end="720"/>
    </w:pPr>
    <w:rPr/>
  </w:style>
  <w:style w:type="paragraph" w:styleId="MacroText">
    <w:name w:val="Macro Text"/>
    <w:basedOn w:val="BodyText"/>
    <w:qFormat/>
    <w:pPr>
      <w:spacing w:lineRule="auto" w:line="240"/>
      <w:jc w:val="start"/>
    </w:pPr>
    <w:rPr>
      <w:rFonts w:ascii="Courier New" w:hAnsi="Courier New" w:cs="Courier New"/>
    </w:rPr>
  </w:style>
  <w:style w:type="paragraph" w:styleId="ListNumber5">
    <w:name w:val="List Number 5"/>
    <w:basedOn w:val="ListNumber"/>
    <w:qFormat/>
    <w:pPr>
      <w:numPr>
        <w:ilvl w:val="0"/>
        <w:numId w:val="9"/>
      </w:numPr>
      <w:ind w:hanging="360" w:start="2160" w:end="720"/>
    </w:pPr>
    <w:rPr/>
  </w:style>
  <w:style w:type="paragraph" w:styleId="Date">
    <w:name w:val="Date"/>
    <w:basedOn w:val="BodyText"/>
    <w:qFormat/>
    <w:pPr>
      <w:spacing w:before="0" w:after="0"/>
      <w:jc w:val="start"/>
    </w:pPr>
    <w:rPr/>
  </w:style>
  <w:style w:type="paragraph" w:styleId="ListNumber2">
    <w:name w:val="List Number 2"/>
    <w:basedOn w:val="ListNumber"/>
    <w:qFormat/>
    <w:pPr>
      <w:numPr>
        <w:ilvl w:val="0"/>
        <w:numId w:val="10"/>
      </w:numPr>
      <w:ind w:hanging="360" w:start="1080" w:end="720"/>
    </w:pPr>
    <w:rPr/>
  </w:style>
  <w:style w:type="paragraph" w:styleId="ListNumber3">
    <w:name w:val="List Number 3"/>
    <w:basedOn w:val="ListNumber"/>
    <w:qFormat/>
    <w:pPr>
      <w:numPr>
        <w:ilvl w:val="0"/>
        <w:numId w:val="11"/>
      </w:numPr>
      <w:ind w:hanging="360" w:start="1440" w:end="720"/>
    </w:pPr>
    <w:rPr/>
  </w:style>
  <w:style w:type="paragraph" w:styleId="ListBullet5">
    <w:name w:val="List Bullet 5"/>
    <w:basedOn w:val="List"/>
    <w:pPr>
      <w:ind w:hanging="360" w:start="1800" w:end="0"/>
    </w:pPr>
    <w:rPr/>
  </w:style>
  <w:style w:type="paragraph" w:styleId="ListBullet4">
    <w:name w:val="List Bullet 4"/>
    <w:basedOn w:val="List"/>
    <w:pPr>
      <w:ind w:hanging="360" w:start="1440" w:end="0"/>
    </w:pPr>
    <w:rPr/>
  </w:style>
  <w:style w:type="paragraph" w:styleId="ListBullet3">
    <w:name w:val="List Bullet 3"/>
    <w:basedOn w:val="List"/>
    <w:pPr>
      <w:ind w:hanging="360" w:start="1080" w:end="0"/>
    </w:pPr>
    <w:rPr/>
  </w:style>
  <w:style w:type="paragraph" w:styleId="ListBullet2">
    <w:name w:val="List Bullet 2"/>
    <w:basedOn w:val="List"/>
    <w:pPr>
      <w:ind w:hanging="360" w:start="720" w:end="0"/>
    </w:pPr>
    <w:rPr/>
  </w:style>
  <w:style w:type="paragraph" w:styleId="Closing">
    <w:name w:val="Closing"/>
    <w:basedOn w:val="Normal"/>
    <w:qFormat/>
    <w:pPr>
      <w:keepNext w:val="true"/>
      <w:spacing w:lineRule="atLeast" w:line="220"/>
    </w:pPr>
    <w:rPr/>
  </w:style>
  <w:style w:type="paragraph" w:styleId="CommentText">
    <w:name w:val="Comment Text"/>
    <w:basedOn w:val="FootnoteBase"/>
    <w:qFormat/>
    <w:pPr/>
    <w:rPr/>
  </w:style>
  <w:style w:type="paragraph" w:styleId="BodyText2">
    <w:name w:val="Body Text 2"/>
    <w:basedOn w:val="BodyText"/>
    <w:qFormat/>
    <w:pPr>
      <w:ind w:hanging="0" w:start="360" w:end="0"/>
    </w:pPr>
    <w:rPr/>
  </w:style>
  <w:style w:type="paragraph" w:styleId="NormalIndent">
    <w:name w:val="Normal Indent"/>
    <w:basedOn w:val="Normal"/>
    <w:qFormat/>
    <w:pPr>
      <w:ind w:hanging="0" w:start="720" w:end="0"/>
    </w:pPr>
    <w:rPr/>
  </w:style>
  <w:style w:type="paragraph" w:styleId="ListContinue">
    <w:name w:val="List Continue"/>
    <w:basedOn w:val="List"/>
    <w:qFormat/>
    <w:pPr>
      <w:ind w:hanging="0" w:start="720" w:end="720"/>
    </w:pPr>
    <w:rPr/>
  </w:style>
  <w:style w:type="paragraph" w:styleId="ListContinue2">
    <w:name w:val="List Continue 2"/>
    <w:basedOn w:val="ListContinue"/>
    <w:qFormat/>
    <w:pPr>
      <w:ind w:hanging="0" w:start="1080" w:end="720"/>
    </w:pPr>
    <w:rPr/>
  </w:style>
  <w:style w:type="paragraph" w:styleId="ListContinue3">
    <w:name w:val="List Continue 3"/>
    <w:basedOn w:val="ListContinue"/>
    <w:qFormat/>
    <w:pPr>
      <w:ind w:hanging="0" w:start="1440" w:end="720"/>
    </w:pPr>
    <w:rPr/>
  </w:style>
  <w:style w:type="paragraph" w:styleId="ListContinue4">
    <w:name w:val="List Continue 4"/>
    <w:basedOn w:val="ListContinue"/>
    <w:qFormat/>
    <w:pPr>
      <w:ind w:hanging="0" w:start="1800" w:end="720"/>
    </w:pPr>
    <w:rPr/>
  </w:style>
  <w:style w:type="paragraph" w:styleId="ListContinue5">
    <w:name w:val="List Continue 5"/>
    <w:basedOn w:val="ListContinue"/>
    <w:qFormat/>
    <w:pPr>
      <w:ind w:hanging="0" w:start="2160" w:end="720"/>
    </w:pPr>
    <w:rPr/>
  </w:style>
  <w:style w:type="paragraph" w:styleId="ReturnAddress">
    <w:name w:val="Return Address"/>
    <w:basedOn w:val="Normal"/>
    <w:qFormat/>
    <w:pPr>
      <w:keepLines/>
      <w:tabs>
        <w:tab w:val="clear" w:pos="720"/>
        <w:tab w:val="left" w:pos="2640" w:leader="none"/>
      </w:tabs>
      <w:spacing w:lineRule="atLeast" w:line="200"/>
    </w:pPr>
    <w:rPr>
      <w:spacing w:val="-2"/>
      <w:sz w:val="16"/>
    </w:rPr>
  </w:style>
  <w:style w:type="paragraph" w:styleId="CompanyName">
    <w:name w:val="Company Name"/>
    <w:basedOn w:val="ReturnAddress"/>
    <w:qFormat/>
    <w:pPr>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Enclosure">
    <w:name w:val="Enclosure"/>
    <w:basedOn w:val="BodyText"/>
    <w:next w:val="Normal"/>
    <w:qFormat/>
    <w:pPr>
      <w:keepLines/>
      <w:spacing w:before="220" w:after="220"/>
      <w:jc w:val="start"/>
    </w:pPr>
    <w:rPr/>
  </w:style>
  <w:style w:type="paragraph" w:styleId="ReferenceInitials">
    <w:name w:val="Reference Initials"/>
    <w:basedOn w:val="BodyText"/>
    <w:next w:val="Enclosure"/>
    <w:qFormat/>
    <w:pPr>
      <w:keepNext w:val="true"/>
      <w:keepLines/>
      <w:spacing w:before="0" w:after="0"/>
    </w:pPr>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ReferenceInitials"/>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EnvelopeAddress">
    <w:name w:val="envelope address"/>
    <w:basedOn w:val="Normal"/>
    <w:pPr>
      <w:ind w:hanging="0" w:start="2880" w:end="0"/>
    </w:pPr>
    <w:rPr>
      <w:sz w:val="24"/>
    </w:rPr>
  </w:style>
  <w:style w:type="paragraph" w:styleId="EnvelopeReturn">
    <w:name w:val="envelope return"/>
    <w:basedOn w:val="Normal"/>
    <w:pPr/>
    <w:rPr/>
  </w:style>
  <w:style w:type="paragraph" w:styleId="ListNumber4">
    <w:name w:val="List Number 4"/>
    <w:basedOn w:val="ListNumber"/>
    <w:qFormat/>
    <w:pPr>
      <w:numPr>
        <w:ilvl w:val="0"/>
        <w:numId w:val="12"/>
      </w:numPr>
      <w:ind w:hanging="360" w:start="1800" w:end="720"/>
    </w:pPr>
    <w:rPr/>
  </w:style>
  <w:style w:type="paragraph" w:styleId="ListBullet51">
    <w:name w:val="List Bullet 51"/>
    <w:basedOn w:val="ListBullet"/>
    <w:qFormat/>
    <w:pPr>
      <w:ind w:hanging="360" w:start="2160" w:end="720"/>
    </w:pPr>
    <w:rPr/>
  </w:style>
  <w:style w:type="paragraph" w:styleId="ListBullet21">
    <w:name w:val="List Bullet 21"/>
    <w:basedOn w:val="ListBullet"/>
    <w:qFormat/>
    <w:pPr>
      <w:ind w:hanging="360" w:start="1080" w:end="720"/>
    </w:pPr>
    <w:rPr/>
  </w:style>
  <w:style w:type="paragraph" w:styleId="ListBullet31">
    <w:name w:val="List Bullet 31"/>
    <w:basedOn w:val="ListBullet"/>
    <w:qFormat/>
    <w:pPr>
      <w:ind w:hanging="360" w:start="1440" w:end="720"/>
    </w:pPr>
    <w:rPr/>
  </w:style>
  <w:style w:type="paragraph" w:styleId="ListBullet41">
    <w:name w:val="List Bullet 41"/>
    <w:basedOn w:val="ListBullet"/>
    <w:qFormat/>
    <w:pPr>
      <w:ind w:hanging="360" w:start="1800" w:end="720"/>
    </w:pPr>
    <w:rPr/>
  </w:style>
  <w:style w:type="paragraph" w:styleId="Body">
    <w:name w:val="Body"/>
    <w:basedOn w:val="Normal"/>
    <w:qFormat/>
    <w:pPr>
      <w:ind w:hanging="0" w:start="72" w:end="0"/>
    </w:pPr>
    <w:rPr>
      <w:color w:val="000080"/>
      <w:spacing w:val="0"/>
      <w:lang w:val="en-US"/>
    </w:rPr>
  </w:style>
  <w:style w:type="paragraph" w:styleId="BodyText3">
    <w:name w:val="Body Text 3"/>
    <w:basedOn w:val="Normal"/>
    <w:qFormat/>
    <w:pPr/>
    <w:rPr>
      <w:rFonts w:ascii="Times New Roman" w:hAnsi="Times New Roman" w:cs="Times New Roman"/>
      <w:color w:val="00008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2000-05-04T12:41:00Z</dcterms:created>
  <dc:creator>Unknown</dc:creator>
  <dc:description/>
  <dc:language>en-CA</dc:language>
  <cp:lastModifiedBy>amacdona</cp:lastModifiedBy>
  <cp:lastPrinted>2000-05-05T13:38:00Z</cp:lastPrinted>
  <dcterms:modified xsi:type="dcterms:W3CDTF">2000-05-05T12:34:00Z</dcterms:modified>
  <cp:revision>21</cp:revision>
  <dc:subject/>
  <dc:title>Helps you design a customized memo</dc:title>
</cp:coreProperties>
</file>