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firstLine="720" w:start="5760" w:end="0"/>
        <w:rPr>
          <w:b w:val="false"/>
          <w:sz w:val="24"/>
        </w:rPr>
      </w:pPr>
      <w:r>
        <w:rPr>
          <w:b w:val="false"/>
          <w:sz w:val="24"/>
        </w:rPr>
      </w:r>
    </w:p>
    <w:p>
      <w:pPr>
        <w:pStyle w:val="Heading1"/>
        <w:ind w:firstLine="720" w:start="5760" w:end="0"/>
        <w:rPr>
          <w:b w:val="false"/>
          <w:sz w:val="24"/>
        </w:rPr>
      </w:pPr>
      <w:r>
        <w:rPr>
          <w:b w:val="false"/>
          <w:sz w:val="24"/>
        </w:rPr>
      </w:r>
    </w:p>
    <w:p>
      <w:pPr>
        <w:pStyle w:val="Heading1"/>
        <w:ind w:firstLine="720" w:start="5760" w:end="0"/>
        <w:rPr>
          <w:b w:val="false"/>
          <w:sz w:val="24"/>
        </w:rPr>
      </w:pPr>
      <w:r>
        <w:rPr>
          <w:b w:val="false"/>
          <w:sz w:val="24"/>
        </w:rPr>
      </w:r>
    </w:p>
    <w:p>
      <w:pPr>
        <w:pStyle w:val="Heading1"/>
        <w:ind w:firstLine="720" w:start="5760" w:end="0"/>
        <w:rPr>
          <w:b w:val="false"/>
          <w:sz w:val="24"/>
        </w:rPr>
      </w:pPr>
      <w:r>
        <w:rPr>
          <w:b w:val="false"/>
          <w:sz w:val="24"/>
        </w:rPr>
      </w:r>
    </w:p>
    <w:p>
      <w:pPr>
        <w:pStyle w:val="Heading1"/>
        <w:ind w:firstLine="720" w:start="5760" w:end="0"/>
        <w:rPr>
          <w:b w:val="false"/>
          <w:sz w:val="24"/>
        </w:rPr>
      </w:pPr>
      <w:r>
        <w:rPr>
          <w:b w:val="false"/>
          <w:sz w:val="24"/>
        </w:rPr>
      </w:r>
    </w:p>
    <w:p>
      <w:pPr>
        <w:pStyle w:val="Heading1"/>
        <w:ind w:firstLine="720" w:start="5760" w:end="0"/>
        <w:rPr>
          <w:b w:val="false"/>
          <w:sz w:val="24"/>
        </w:rPr>
      </w:pPr>
      <w:r>
        <w:rPr>
          <w:b w:val="false"/>
          <w:sz w:val="24"/>
        </w:rPr>
      </w:r>
    </w:p>
    <w:p>
      <w:pPr>
        <w:pStyle w:val="Heading1"/>
        <w:ind w:firstLine="720" w:start="5760" w:end="0"/>
        <w:rPr>
          <w:b w:val="false"/>
          <w:sz w:val="24"/>
        </w:rPr>
      </w:pPr>
      <w:r>
        <w:rPr>
          <w:b w:val="false"/>
          <w:sz w:val="24"/>
        </w:rPr>
        <w:t>Peggy Mahoney</w:t>
      </w:r>
    </w:p>
    <w:p>
      <w:pPr>
        <w:pStyle w:val="Normal"/>
        <w:ind w:start="6480" w:end="0"/>
        <w:rPr>
          <w:sz w:val="24"/>
        </w:rPr>
      </w:pPr>
      <w:r>
        <w:rPr>
          <w:sz w:val="24"/>
        </w:rPr>
        <w:t>Enron Energy Services</w:t>
      </w:r>
    </w:p>
    <w:p>
      <w:pPr>
        <w:pStyle w:val="Normal"/>
        <w:ind w:firstLine="720" w:start="5760" w:end="0"/>
        <w:rPr>
          <w:sz w:val="24"/>
        </w:rPr>
      </w:pPr>
      <w:r>
        <w:rPr>
          <w:sz w:val="24"/>
        </w:rPr>
        <w:t>713-345-7034</w:t>
      </w:r>
    </w:p>
    <w:p>
      <w:pPr>
        <w:pStyle w:val="Normal"/>
        <w:ind w:firstLine="720" w:start="5760" w:end="0"/>
        <w:rPr>
          <w:sz w:val="24"/>
        </w:rPr>
      </w:pPr>
      <w:r>
        <w:rPr>
          <w:sz w:val="24"/>
        </w:rPr>
      </w:r>
    </w:p>
    <w:p>
      <w:pPr>
        <w:pStyle w:val="Normal"/>
        <w:ind w:firstLine="720" w:start="5760" w:end="0"/>
        <w:rPr>
          <w:sz w:val="24"/>
        </w:rPr>
      </w:pPr>
      <w:r>
        <w:rPr>
          <w:sz w:val="24"/>
        </w:rPr>
        <w:t>Jim Mandler</w:t>
      </w:r>
    </w:p>
    <w:p>
      <w:pPr>
        <w:pStyle w:val="Normal"/>
        <w:ind w:firstLine="720" w:start="5760" w:end="0"/>
        <w:rPr>
          <w:sz w:val="24"/>
        </w:rPr>
      </w:pPr>
      <w:r>
        <w:rPr>
          <w:sz w:val="24"/>
        </w:rPr>
        <w:t>Continuum Health Partners</w:t>
      </w:r>
    </w:p>
    <w:p>
      <w:pPr>
        <w:pStyle w:val="Normal"/>
        <w:ind w:firstLine="720" w:start="5760" w:end="0"/>
        <w:rPr>
          <w:sz w:val="24"/>
        </w:rPr>
      </w:pPr>
      <w:r>
        <w:rPr>
          <w:sz w:val="24"/>
        </w:rPr>
        <w:t>212- 523-7772</w:t>
      </w:r>
    </w:p>
    <w:p>
      <w:pPr>
        <w:pStyle w:val="Heading1"/>
        <w:ind w:hanging="0" w:start="0"/>
        <w:rPr>
          <w:sz w:val="24"/>
          <w:u w:val="single"/>
        </w:rPr>
      </w:pPr>
      <w:r>
        <w:rPr>
          <w:sz w:val="24"/>
          <w:u w:val="single"/>
        </w:rPr>
      </w:r>
    </w:p>
    <w:p>
      <w:pPr>
        <w:pStyle w:val="Heading1"/>
        <w:ind w:hanging="0" w:start="0"/>
        <w:rPr>
          <w:sz w:val="24"/>
          <w:u w:val="single"/>
        </w:rPr>
      </w:pPr>
      <w:r>
        <w:rPr>
          <w:sz w:val="24"/>
          <w:u w:val="single"/>
        </w:rPr>
      </w:r>
    </w:p>
    <w:p>
      <w:pPr>
        <w:pStyle w:val="Heading1"/>
        <w:ind w:hanging="0" w:start="0"/>
        <w:rPr>
          <w:sz w:val="24"/>
          <w:u w:val="single"/>
        </w:rPr>
      </w:pPr>
      <w:r>
        <w:rPr>
          <w:sz w:val="24"/>
          <w:u w:val="single"/>
        </w:rPr>
        <w:t>ENRON AND CONTINUUM HEALTH PARTNERS SIGN LONG-TERM</w:t>
      </w:r>
    </w:p>
    <w:p>
      <w:pPr>
        <w:pStyle w:val="Heading2"/>
        <w:ind w:hanging="0" w:start="0"/>
        <w:rPr>
          <w:sz w:val="24"/>
        </w:rPr>
      </w:pPr>
      <w:r>
        <w:rPr>
          <w:sz w:val="24"/>
        </w:rPr>
        <w:t>ENERGY MANAGEMENT AGREEMENT</w:t>
      </w:r>
    </w:p>
    <w:p>
      <w:pPr>
        <w:pStyle w:val="Normal"/>
        <w:rPr>
          <w:b/>
          <w:sz w:val="24"/>
          <w:u w:val="single"/>
        </w:rPr>
      </w:pPr>
      <w:r>
        <w:rPr>
          <w:b/>
          <w:sz w:val="24"/>
          <w:u w:val="single"/>
        </w:rPr>
      </w:r>
    </w:p>
    <w:p>
      <w:pPr>
        <w:pStyle w:val="Normal"/>
        <w:rPr>
          <w:sz w:val="24"/>
        </w:rPr>
      </w:pPr>
      <w:r>
        <w:rPr>
          <w:sz w:val="24"/>
        </w:rPr>
        <w:t>FOR IMMEDIATE RELEASE: Wednesday, November 8, 2000</w:t>
      </w:r>
    </w:p>
    <w:p>
      <w:pPr>
        <w:pStyle w:val="Normal"/>
        <w:rPr>
          <w:sz w:val="24"/>
        </w:rPr>
      </w:pPr>
      <w:r>
        <w:rPr>
          <w:sz w:val="24"/>
        </w:rPr>
      </w:r>
    </w:p>
    <w:p>
      <w:pPr>
        <w:pStyle w:val="Heading1"/>
        <w:spacing w:lineRule="auto" w:line="480"/>
        <w:ind w:hanging="0" w:start="0"/>
        <w:rPr/>
      </w:pPr>
      <w:r>
        <w:rPr>
          <w:sz w:val="24"/>
        </w:rPr>
        <w:t xml:space="preserve">HOUSTON – </w:t>
      </w:r>
      <w:r>
        <w:rPr>
          <w:b w:val="false"/>
          <w:sz w:val="24"/>
        </w:rPr>
        <w:t xml:space="preserve">Enron Energy Services, a subsidiary of Enron Corp., and Continuum Health Partners announced today an eight-year energy management agreement.  The agreement covers Continuum’s New York City-based member hospitals: Beth Israel Medical Center, St. Luke’s-Roosevelt Hospital Center, Long Island College Hospital and New York Eye &amp; Ear Infirmary. </w:t>
      </w:r>
    </w:p>
    <w:p>
      <w:pPr>
        <w:pStyle w:val="Normal"/>
        <w:spacing w:lineRule="auto" w:line="480"/>
        <w:rPr>
          <w:sz w:val="24"/>
        </w:rPr>
      </w:pPr>
      <w:r>
        <w:rPr>
          <w:sz w:val="24"/>
        </w:rPr>
        <w:tab/>
        <w:t>Through this agreement, Enron will manage the supply of electricity, consolidate energy information and provide energy price stability for the non-profit healthcare network comprised of three hospitals located in Manhattan and one in Brooklyn, New York.</w:t>
      </w:r>
    </w:p>
    <w:p>
      <w:pPr>
        <w:pStyle w:val="Normal"/>
        <w:spacing w:lineRule="auto" w:line="480"/>
        <w:rPr>
          <w:sz w:val="24"/>
        </w:rPr>
      </w:pPr>
      <w:r>
        <w:rPr>
          <w:sz w:val="24"/>
        </w:rPr>
        <w:tab/>
        <w:t>Greg Sharp, Vice-President, National Energy Origination, of Enron Energy Services said, “Continuum Health Partners’ hospitals are located in one of the most volatile energy markets and have been exposed to some of the highest energy prices in the country.  This new agreement will provide them with significant cost savings at all of their facilities.”</w:t>
      </w:r>
    </w:p>
    <w:p>
      <w:pPr>
        <w:pStyle w:val="Normal"/>
        <w:spacing w:lineRule="auto" w:line="480"/>
        <w:ind w:firstLine="720" w:end="0"/>
        <w:rPr>
          <w:sz w:val="24"/>
        </w:rPr>
      </w:pPr>
      <w:r>
        <w:rPr>
          <w:sz w:val="24"/>
        </w:rPr>
        <w:t>“</w:t>
      </w:r>
      <w:r>
        <w:rPr>
          <w:sz w:val="24"/>
        </w:rPr>
        <w:t>Our partnering with Enron enables Continuum to manage one energy budget and avoid fluctuating market prices,” said Leonard Mellusi, Director of Engineering, who helped negotiate the agreement.</w:t>
      </w:r>
    </w:p>
    <w:p>
      <w:pPr>
        <w:pStyle w:val="BodyText"/>
        <w:spacing w:lineRule="auto" w:line="480"/>
        <w:ind w:firstLine="720" w:end="0"/>
        <w:rPr>
          <w:sz w:val="24"/>
        </w:rPr>
      </w:pPr>
      <w:r>
        <w:rPr>
          <w:sz w:val="24"/>
        </w:rPr>
      </w:r>
    </w:p>
    <w:p>
      <w:pPr>
        <w:pStyle w:val="BodyText"/>
        <w:spacing w:lineRule="auto" w:line="480"/>
        <w:ind w:firstLine="720" w:end="0"/>
        <w:rPr/>
      </w:pPr>
      <w:r>
        <w:rPr/>
        <w:t xml:space="preserve">Continuum Health Partners, Inc., was formed in January, 1997, as a partnership of two venerable health care providers, Beth Israel Medical Center and St. Luke's-Roosevelt Hospital Center. Building upon the strengths of both institutions, the partners soon established a broad-based integrated health services network extending throughout the New York metropolitan region. In May, 1998, the partnership was joined by Long Island College Hospital, located in the Brooklyn Heights/Cobble Hill section of Brooklyn. Continuum continued to grow with the addition of New York Eye and Ear Infirmary in the summer of 1999. The system has an annual operating budget of $1.7 billion and delivers care through nearly 3,100 beds in seven major hospital facilities and group and private practice settings in ambulatory care facilities throughout the metropolitan region. </w:t>
      </w:r>
    </w:p>
    <w:p>
      <w:pPr>
        <w:pStyle w:val="Normal"/>
        <w:spacing w:lineRule="auto" w:line="360"/>
        <w:ind w:firstLine="720" w:end="0"/>
        <w:rPr>
          <w:sz w:val="24"/>
        </w:rPr>
      </w:pPr>
      <w:r>
        <w:rPr>
          <w:sz w:val="24"/>
        </w:rPr>
        <w:t xml:space="preserve">Enron is one of the world’s leading electricity, natural gas and communications companies.  The company, with revenues of $40 billion in 1999 and $60 billion for the first nine months of 2000, markets electricity and natural gas, delivers physical commodities and financial and risk management services to customers around the world, and is developing an intelligent network platform to facilitate online business.  </w:t>
      </w:r>
      <w:r>
        <w:rPr>
          <w:i/>
          <w:sz w:val="24"/>
        </w:rPr>
        <w:t>Fortune</w:t>
      </w:r>
      <w:r>
        <w:rPr>
          <w:sz w:val="24"/>
        </w:rPr>
        <w:t xml:space="preserve"> magazine has named Enron “America’s Most Innovative Company” for five consecutive years, the top company for “Quality of Management” and the second best company for “Employee Talent.”  Enron’s Internet address is </w:t>
      </w:r>
      <w:r>
        <w:rPr>
          <w:color w:val="0000FF"/>
          <w:sz w:val="24"/>
          <w:u w:val="single"/>
        </w:rPr>
        <w:t>www.enron.com</w:t>
      </w:r>
      <w:r>
        <w:rPr>
          <w:sz w:val="24"/>
        </w:rPr>
        <w:t>.  The stock is traded under the ticker symbol “ENE.”</w:t>
      </w:r>
    </w:p>
    <w:p>
      <w:pPr>
        <w:pStyle w:val="Normal"/>
        <w:spacing w:lineRule="auto" w:line="480"/>
        <w:ind w:firstLine="720" w:end="0"/>
        <w:jc w:val="center"/>
        <w:rPr>
          <w:sz w:val="24"/>
        </w:rPr>
      </w:pPr>
      <w:r>
        <w:rPr>
          <w:color w:val="000000"/>
          <w:sz w:val="24"/>
        </w:rPr>
        <w:t># # #</w:t>
      </w:r>
    </w:p>
    <w:p>
      <w:pPr>
        <w:pStyle w:val="BodyText"/>
        <w:spacing w:lineRule="auto" w:line="480"/>
        <w:ind w:firstLine="720" w:end="0"/>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2000-10-05T17:20:00Z</dcterms:created>
  <dc:creator>epeters2</dc:creator>
  <dc:description/>
  <dc:language>en-CA</dc:language>
  <cp:lastModifiedBy>epeters2</cp:lastModifiedBy>
  <cp:lastPrinted>2000-11-06T13:26:00Z</cp:lastPrinted>
  <dcterms:modified xsi:type="dcterms:W3CDTF">2000-11-06T23:50:00Z</dcterms:modified>
  <cp:revision>10</cp:revision>
  <dc:subject/>
  <dc:title>Peggy Mahoney</dc:title>
</cp:coreProperties>
</file>