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CONTINGENCY SEARCH SERVICES</w:t>
      </w:r>
    </w:p>
    <w:p>
      <w:pPr>
        <w:pStyle w:val="Normal"/>
        <w:jc w:val="center"/>
        <w:rPr>
          <w:sz w:val="24"/>
        </w:rPr>
      </w:pPr>
      <w:r>
        <w:rPr>
          <w:sz w:val="24"/>
        </w:rPr>
      </w:r>
    </w:p>
    <w:p>
      <w:pPr>
        <w:pStyle w:val="Normal"/>
        <w:jc w:val="both"/>
        <w:rPr/>
      </w:pPr>
      <w:r>
        <w:rPr>
          <w:sz w:val="24"/>
        </w:rPr>
        <w:tab/>
        <w:t xml:space="preserve">This Agreement is between </w:t>
      </w:r>
      <w:r>
        <w:rPr>
          <w:b/>
          <w:sz w:val="24"/>
        </w:rPr>
        <w:fldChar w:fldCharType="begin"/>
      </w:r>
      <w:r>
        <w:rPr>
          <w:sz w:val="24"/>
          <w:b/>
        </w:rPr>
        <w:instrText xml:space="preserve"> MERGEFIELD EnronCompanyName </w:instrText>
      </w:r>
      <w:r>
        <w:rPr>
          <w:sz w:val="24"/>
          <w:b/>
        </w:rPr>
        <w:fldChar w:fldCharType="separate"/>
      </w:r>
      <w:r>
        <w:rPr>
          <w:sz w:val="24"/>
          <w:b/>
        </w:rPr>
        <w:t>«EnronCompanyName»</w:t>
      </w:r>
      <w:r>
        <w:rPr>
          <w:sz w:val="24"/>
          <w:b/>
        </w:rPr>
        <w:fldChar w:fldCharType="end"/>
      </w:r>
      <w:r>
        <w:rPr>
          <w:sz w:val="24"/>
        </w:rPr>
        <w:t xml:space="preserve">, a(n) </w:t>
      </w:r>
      <w:r>
        <w:rPr>
          <w:sz w:val="24"/>
        </w:rPr>
        <w:fldChar w:fldCharType="begin"/>
      </w:r>
      <w:r>
        <w:rPr>
          <w:sz w:val="24"/>
        </w:rPr>
        <w:instrText xml:space="preserve"> MERGEFIELD StateofIncorporation </w:instrText>
      </w:r>
      <w:r>
        <w:rPr>
          <w:sz w:val="24"/>
        </w:rPr>
        <w:fldChar w:fldCharType="separate"/>
      </w:r>
      <w:r>
        <w:rPr>
          <w:sz w:val="24"/>
        </w:rPr>
        <w:t>«StateofIncorporation»</w:t>
      </w:r>
      <w:r>
        <w:rPr>
          <w:sz w:val="24"/>
        </w:rPr>
        <w:fldChar w:fldCharType="end"/>
      </w:r>
      <w:r>
        <w:rPr>
          <w:sz w:val="24"/>
        </w:rPr>
        <w:t xml:space="preserve">  corporation {{if necessary -- and subsidiary of Enron Corp.}} (“Company”), located at 1400 Smith Street, Houston, Texas 77002, and </w:t>
      </w:r>
      <w:r>
        <w:rPr>
          <w:b/>
          <w:sz w:val="24"/>
        </w:rPr>
        <w:fldChar w:fldCharType="begin"/>
      </w:r>
      <w:r>
        <w:rPr>
          <w:sz w:val="24"/>
          <w:b/>
        </w:rPr>
        <w:instrText xml:space="preserve"> MERGEFIELD ContingencySearchFirmName </w:instrText>
      </w:r>
      <w:r>
        <w:rPr>
          <w:sz w:val="24"/>
          <w:b/>
        </w:rPr>
        <w:fldChar w:fldCharType="separate"/>
      </w:r>
      <w:r>
        <w:rPr>
          <w:sz w:val="24"/>
          <w:b/>
        </w:rPr>
        <w:t>«ContingencySearchFirmName»</w:t>
      </w:r>
      <w:r>
        <w:rPr>
          <w:sz w:val="24"/>
          <w:b/>
        </w:rPr>
        <w:fldChar w:fldCharType="end"/>
      </w:r>
      <w:r>
        <w:rPr>
          <w:b/>
          <w:sz w:val="24"/>
        </w:rPr>
        <w:t xml:space="preserve"> </w:t>
      </w:r>
      <w:r>
        <w:rPr>
          <w:sz w:val="24"/>
        </w:rPr>
        <w:t xml:space="preserve">(“Firm”), located at </w:t>
      </w:r>
      <w:r>
        <w:rPr>
          <w:sz w:val="24"/>
        </w:rPr>
        <w:fldChar w:fldCharType="begin"/>
      </w:r>
      <w:r>
        <w:rPr>
          <w:sz w:val="24"/>
        </w:rPr>
        <w:instrText xml:space="preserve"> MERGEFIELD ContractorsAddress </w:instrText>
      </w:r>
      <w:r>
        <w:rPr>
          <w:sz w:val="24"/>
        </w:rPr>
        <w:fldChar w:fldCharType="separate"/>
      </w:r>
      <w:r>
        <w:rPr>
          <w:sz w:val="24"/>
        </w:rPr>
        <w:t>«FirmAddress»</w:t>
      </w:r>
      <w:r>
        <w:rPr>
          <w:sz w:val="24"/>
        </w:rPr>
        <w:fldChar w:fldCharType="end"/>
      </w:r>
      <w:r>
        <w:rPr>
          <w:sz w:val="24"/>
        </w:rPr>
        <w:t xml:space="preserve">. </w:t>
      </w:r>
    </w:p>
    <w:p>
      <w:pPr>
        <w:pStyle w:val="Normal"/>
        <w:jc w:val="both"/>
        <w:rPr>
          <w:sz w:val="24"/>
        </w:rPr>
      </w:pPr>
      <w:r>
        <w:rPr>
          <w:sz w:val="24"/>
        </w:rPr>
      </w:r>
    </w:p>
    <w:p>
      <w:pPr>
        <w:pStyle w:val="Heading1"/>
        <w:ind w:hanging="0" w:start="0"/>
        <w:rPr/>
      </w:pPr>
      <w:r>
        <w:rPr/>
        <w:t>PART A:  GENERAL</w:t>
      </w:r>
    </w:p>
    <w:p>
      <w:pPr>
        <w:pStyle w:val="Normal"/>
        <w:jc w:val="center"/>
        <w:rPr>
          <w:b/>
          <w:sz w:val="24"/>
        </w:rPr>
      </w:pPr>
      <w:r>
        <w:rPr>
          <w:b/>
          <w:sz w:val="24"/>
        </w:rPr>
      </w:r>
    </w:p>
    <w:p>
      <w:pPr>
        <w:pStyle w:val="Normal"/>
        <w:jc w:val="both"/>
        <w:rPr/>
      </w:pPr>
      <w:r>
        <w:rPr>
          <w:b/>
          <w:sz w:val="24"/>
        </w:rPr>
        <w:t>1.</w:t>
        <w:tab/>
      </w:r>
      <w:r>
        <w:rPr>
          <w:b/>
          <w:sz w:val="24"/>
          <w:u w:val="single"/>
        </w:rPr>
        <w:t>Term</w:t>
      </w:r>
      <w:r>
        <w:rPr>
          <w:b/>
          <w:sz w:val="24"/>
        </w:rPr>
        <w:t xml:space="preserve">.  </w:t>
      </w:r>
      <w:r>
        <w:rPr>
          <w:sz w:val="24"/>
        </w:rPr>
        <w:t>This Agreement shall begin upon execution</w:t>
      </w:r>
      <w:r>
        <w:rPr>
          <w:sz w:val="24"/>
        </w:rPr>
        <w:fldChar w:fldCharType="begin"/>
      </w:r>
      <w:r>
        <w:rPr>
          <w:sz w:val="24"/>
        </w:rPr>
        <w:instrText xml:space="preserve"> MERGEFIELD BeginningDate </w:instrText>
      </w:r>
      <w:r>
        <w:rPr>
          <w:sz w:val="24"/>
        </w:rPr>
        <w:fldChar w:fldCharType="separate"/>
      </w:r>
      <w:r>
        <w:rPr>
          <w:sz w:val="24"/>
        </w:rPr>
      </w:r>
      <w:r>
        <w:rPr>
          <w:sz w:val="24"/>
        </w:rPr>
        <w:fldChar w:fldCharType="end"/>
      </w:r>
      <w:r>
        <w:rPr>
          <w:sz w:val="24"/>
        </w:rPr>
        <w:t>, and shall end on March 31, 2001 (“Term”).  This Agreement may be terminated under the provisions of Section 7.</w:t>
      </w:r>
    </w:p>
    <w:p>
      <w:pPr>
        <w:pStyle w:val="Normal"/>
        <w:jc w:val="both"/>
        <w:rPr>
          <w:sz w:val="24"/>
        </w:rPr>
      </w:pPr>
      <w:r>
        <w:rPr>
          <w:sz w:val="24"/>
        </w:rPr>
      </w:r>
    </w:p>
    <w:p>
      <w:pPr>
        <w:pStyle w:val="Normal"/>
        <w:numPr>
          <w:ilvl w:val="0"/>
          <w:numId w:val="3"/>
        </w:numPr>
        <w:tabs>
          <w:tab w:val="clear" w:pos="720"/>
          <w:tab w:val="left" w:pos="0" w:leader="none"/>
        </w:tabs>
        <w:ind w:hanging="0" w:start="0" w:end="0"/>
        <w:jc w:val="both"/>
        <w:rPr>
          <w:sz w:val="24"/>
        </w:rPr>
      </w:pPr>
      <w:r>
        <w:rPr>
          <w:b/>
          <w:sz w:val="24"/>
          <w:u w:val="single"/>
        </w:rPr>
        <w:t>Services</w:t>
      </w:r>
      <w:r>
        <w:rPr>
          <w:b/>
          <w:sz w:val="24"/>
        </w:rPr>
        <w:t xml:space="preserve">.  </w:t>
      </w:r>
      <w:r>
        <w:rPr>
          <w:sz w:val="24"/>
        </w:rPr>
        <w:t>During the Term, Firm will supply information regarding candidates qualified to fill the positions described in Part B of this Agreement and/or will provide Company with such qualified candidates (“the Services”).  Company will accept information regarding qualified candidates that have not been received by Company during the previous 180 days.  All information, including resumes, becomes the property of Company 180 days after receipt by Company.  In performing the Services, Firm will conduct a preliminary screening of the candidate to determine the Candidate’s general qualifications, background, and suitability for the open position prior to referring the Candidate to Company.  Company has the sole discretion to make the determination of whether to hire the Candidate supplied by Firm.  Firm shall begin the Services promptly and shall perform the Services with diligence until Company has hired a qualified candidate or until Company instructs Firm to end the Services.  Firm will consult and advise with Company with respect to questions arising in connection with its providing the Services, and will submit periodic progress reports as requested by Company.  Firm recognizes that this Agreement is not exclusive and that Company reserves the right to contract with other parties for similar services during the Term.</w:t>
      </w:r>
    </w:p>
    <w:p>
      <w:pPr>
        <w:pStyle w:val="Normal"/>
        <w:ind w:firstLine="720" w:end="0"/>
        <w:jc w:val="both"/>
        <w:rPr>
          <w:sz w:val="24"/>
        </w:rPr>
      </w:pPr>
      <w:r>
        <w:rPr>
          <w:sz w:val="24"/>
        </w:rPr>
      </w:r>
    </w:p>
    <w:p>
      <w:pPr>
        <w:pStyle w:val="Normal"/>
        <w:numPr>
          <w:ilvl w:val="0"/>
          <w:numId w:val="3"/>
        </w:numPr>
        <w:tabs>
          <w:tab w:val="clear" w:pos="720"/>
          <w:tab w:val="left" w:pos="4320" w:leader="none"/>
          <w:tab w:val="left" w:pos="4770" w:leader="none"/>
        </w:tabs>
        <w:jc w:val="both"/>
        <w:rPr>
          <w:b/>
          <w:sz w:val="24"/>
        </w:rPr>
      </w:pPr>
      <w:r>
        <w:rPr>
          <w:b/>
          <w:sz w:val="24"/>
          <w:u w:val="single"/>
        </w:rPr>
        <w:t>Fee</w:t>
      </w:r>
      <w:r>
        <w:rPr>
          <w:b/>
          <w:sz w:val="24"/>
        </w:rPr>
        <w:t xml:space="preserve">.  </w:t>
      </w:r>
    </w:p>
    <w:p>
      <w:pPr>
        <w:pStyle w:val="Normal"/>
        <w:tabs>
          <w:tab w:val="left" w:pos="720" w:leader="none"/>
          <w:tab w:val="left" w:pos="4320" w:leader="none"/>
          <w:tab w:val="left" w:pos="4770" w:leader="none"/>
        </w:tabs>
        <w:jc w:val="both"/>
        <w:rPr/>
      </w:pPr>
      <w:r>
        <w:rPr>
          <w:sz w:val="24"/>
        </w:rPr>
        <w:tab/>
      </w:r>
      <w:r>
        <w:rPr>
          <w:b/>
          <w:sz w:val="24"/>
        </w:rPr>
        <w:t xml:space="preserve">a.  Permanent Placement.  </w:t>
      </w:r>
      <w:r>
        <w:rPr>
          <w:sz w:val="24"/>
        </w:rPr>
        <w:t>If Firm locates a candidate who is hired for a position described in Part B of this agreement, Company will pay Firm a placement fee in the amount of Twenty percent (20%) of the Candidate’s annual base salary. (</w:t>
      </w:r>
      <w:r>
        <w:rPr>
          <w:color w:val="000000"/>
          <w:sz w:val="24"/>
          <w:lang w:eastAsia="en-US"/>
        </w:rPr>
        <w:t>Any compensation other than base salary will not be included in the fe</w:t>
      </w:r>
      <w:r>
        <w:rPr>
          <w:sz w:val="24"/>
        </w:rPr>
        <w:t>e).  If Company instructs Firm to end a search, no placement fees will be due or paid, unless Company hires a candidate supplied by Firm within 180 days of instructing Firm to end the search.  If Company hires an applicant for the position who was not introduced or presented by Firm for the position, no fee is due to Firm.</w:t>
      </w:r>
    </w:p>
    <w:p>
      <w:pPr>
        <w:pStyle w:val="Normal"/>
        <w:tabs>
          <w:tab w:val="left" w:pos="720" w:leader="none"/>
          <w:tab w:val="left" w:pos="4320" w:leader="none"/>
          <w:tab w:val="left" w:pos="4770" w:leader="none"/>
        </w:tabs>
        <w:jc w:val="both"/>
        <w:rPr>
          <w:sz w:val="24"/>
        </w:rPr>
      </w:pPr>
      <w:r>
        <w:rPr>
          <w:sz w:val="24"/>
        </w:rPr>
      </w:r>
    </w:p>
    <w:p>
      <w:pPr>
        <w:pStyle w:val="Normal"/>
        <w:tabs>
          <w:tab w:val="left" w:pos="720" w:leader="none"/>
          <w:tab w:val="left" w:pos="4320" w:leader="none"/>
          <w:tab w:val="left" w:pos="4770" w:leader="none"/>
        </w:tabs>
        <w:jc w:val="both"/>
        <w:rPr>
          <w:sz w:val="24"/>
        </w:rPr>
      </w:pPr>
      <w:r>
        <w:rPr>
          <w:sz w:val="24"/>
        </w:rPr>
        <w:t>Telephone and local entertainment expenses will be assumed by Firm.  No other cost will be paid by Company without prior approval by Company.  Any such pre-approved expenses will be billed at actual cost, without any “markup.”</w:t>
      </w:r>
    </w:p>
    <w:p>
      <w:pPr>
        <w:pStyle w:val="Normal"/>
        <w:jc w:val="both"/>
        <w:rPr>
          <w:sz w:val="24"/>
        </w:rPr>
      </w:pPr>
      <w:r>
        <w:rPr>
          <w:sz w:val="24"/>
        </w:rPr>
      </w:r>
    </w:p>
    <w:p>
      <w:pPr>
        <w:pStyle w:val="Normal"/>
        <w:ind w:firstLine="720" w:end="0"/>
        <w:rPr/>
      </w:pPr>
      <w:r>
        <w:rPr>
          <w:b/>
          <w:sz w:val="24"/>
        </w:rPr>
        <w:t xml:space="preserve">b.  Contract Placement.  </w:t>
      </w:r>
      <w:r>
        <w:rPr>
          <w:sz w:val="24"/>
        </w:rPr>
        <w:t>Enron retains the right to hire contractor at any time during the contract period.  Upon hire and during contract employment, contractor will not be bound to non-competition agreements with current or previous vendors.  The fee/liquidation structure for contract position is as follows:</w:t>
      </w:r>
    </w:p>
    <w:p>
      <w:pPr>
        <w:pStyle w:val="Normal"/>
        <w:rPr>
          <w:sz w:val="24"/>
        </w:rPr>
      </w:pPr>
      <w:r>
        <w:rPr>
          <w:sz w:val="24"/>
        </w:rPr>
      </w:r>
    </w:p>
    <w:p>
      <w:pPr>
        <w:pStyle w:val="Normal"/>
        <w:ind w:firstLine="720" w:start="720" w:end="0"/>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5418"/>
        <w:gridCol w:w="4158"/>
      </w:tblGrid>
      <w:tr>
        <w:trPr/>
        <w:tc>
          <w:tcPr>
            <w:tcW w:w="541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Number of days worked for and Enron Company</w:t>
            </w:r>
          </w:p>
        </w:tc>
        <w:tc>
          <w:tcPr>
            <w:tcW w:w="415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Fee Paid to Firm</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 – 30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20%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31 – 60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18%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61 – 90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15%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91 – 120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121 – 180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 of annual base salary</w:t>
            </w:r>
          </w:p>
        </w:tc>
      </w:tr>
      <w:tr>
        <w:trPr/>
        <w:tc>
          <w:tcPr>
            <w:tcW w:w="541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After 180 days</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fee</w:t>
            </w:r>
          </w:p>
        </w:tc>
      </w:tr>
    </w:tbl>
    <w:p>
      <w:pPr>
        <w:pStyle w:val="Normal"/>
        <w:jc w:val="both"/>
        <w:rPr>
          <w:b/>
          <w:sz w:val="24"/>
        </w:rPr>
      </w:pPr>
      <w:r>
        <w:rPr>
          <w:b/>
          <w:sz w:val="24"/>
        </w:rPr>
      </w:r>
    </w:p>
    <w:p>
      <w:pPr>
        <w:pStyle w:val="Normal"/>
        <w:tabs>
          <w:tab w:val="left" w:pos="720" w:leader="none"/>
          <w:tab w:val="left" w:pos="4320" w:leader="none"/>
          <w:tab w:val="left" w:pos="4770" w:leader="none"/>
        </w:tabs>
        <w:jc w:val="both"/>
        <w:rPr/>
      </w:pPr>
      <w:r>
        <w:rPr>
          <w:b/>
          <w:sz w:val="24"/>
        </w:rPr>
        <w:t>4.</w:t>
        <w:tab/>
      </w:r>
      <w:r>
        <w:rPr>
          <w:b/>
          <w:sz w:val="24"/>
          <w:u w:val="single"/>
        </w:rPr>
        <w:t>Guarantee</w:t>
      </w:r>
      <w:r>
        <w:rPr>
          <w:b/>
          <w:sz w:val="24"/>
        </w:rPr>
        <w:t xml:space="preserve">.  </w:t>
      </w:r>
      <w:r>
        <w:rPr>
          <w:sz w:val="24"/>
        </w:rPr>
        <w:t>Firm agrees that all Candidates hired to a position authorized or described in Part B of this agreement will remain employed for at least 90 days following Candidates’ starting date.  If a hired Candidate leaves the Company’s employment, whether voluntarily or involuntarily, within 90 days following the Candidate’s first day of employment (for other than medical reasons), then Firm will, at Company option, either (1) promptly replace the Candidate with another Candidate suitable to Company at no additional charge, or (2) fulfill a comparable position, determined by Company, at no additional charge, and/or (3) repay the fee associated with the candidate within 90 days after notification of Candidate’s departure from the Company.</w:t>
      </w:r>
    </w:p>
    <w:p>
      <w:pPr>
        <w:pStyle w:val="Normal"/>
        <w:jc w:val="both"/>
        <w:rPr>
          <w:b/>
          <w:sz w:val="24"/>
        </w:rPr>
      </w:pPr>
      <w:r>
        <w:rPr>
          <w:b/>
          <w:sz w:val="24"/>
        </w:rPr>
      </w:r>
    </w:p>
    <w:p>
      <w:pPr>
        <w:pStyle w:val="Normal"/>
        <w:tabs>
          <w:tab w:val="left" w:pos="720" w:leader="none"/>
          <w:tab w:val="left" w:pos="4320" w:leader="none"/>
          <w:tab w:val="left" w:pos="4770" w:leader="none"/>
        </w:tabs>
        <w:jc w:val="both"/>
        <w:rPr/>
      </w:pPr>
      <w:r>
        <w:rPr>
          <w:b/>
          <w:sz w:val="24"/>
        </w:rPr>
        <w:t>5.</w:t>
        <w:tab/>
      </w:r>
      <w:r>
        <w:rPr>
          <w:b/>
          <w:sz w:val="24"/>
          <w:u w:val="single"/>
        </w:rPr>
        <w:t>Non-Solicitation of Employees</w:t>
      </w:r>
      <w:r>
        <w:rPr>
          <w:b/>
          <w:sz w:val="24"/>
        </w:rPr>
        <w:t xml:space="preserve">.  </w:t>
      </w:r>
      <w:r>
        <w:rPr>
          <w:sz w:val="24"/>
        </w:rPr>
        <w:t xml:space="preserve">Firm will not, either directly or indirectly, call on, recruit, solicit, or place a Company employee in another job outside of Company or its affiliates or assist or induce an Employee of the Company or its affiliates to leave the employ of the Company.  This provision will activate upon initiation of the first authorized search during the Term and will remain in effect for 180 days following the termination of the last search within the term.  </w:t>
      </w:r>
    </w:p>
    <w:p>
      <w:pPr>
        <w:pStyle w:val="Normal"/>
        <w:jc w:val="both"/>
        <w:rPr>
          <w:b/>
          <w:sz w:val="24"/>
        </w:rPr>
      </w:pPr>
      <w:r>
        <w:rPr>
          <w:b/>
          <w:sz w:val="24"/>
        </w:rPr>
      </w:r>
    </w:p>
    <w:p>
      <w:pPr>
        <w:pStyle w:val="Normal"/>
        <w:jc w:val="both"/>
        <w:rPr/>
      </w:pPr>
      <w:r>
        <w:rPr>
          <w:b/>
          <w:sz w:val="24"/>
        </w:rPr>
        <w:t>6.</w:t>
        <w:tab/>
      </w:r>
      <w:r>
        <w:rPr>
          <w:b/>
          <w:sz w:val="24"/>
          <w:u w:val="single"/>
        </w:rPr>
        <w:t>Compliance Requirements</w:t>
      </w:r>
      <w:r>
        <w:rPr>
          <w:b/>
          <w:sz w:val="24"/>
        </w:rPr>
        <w:t xml:space="preserve">.  </w:t>
      </w:r>
      <w:r>
        <w:rPr>
          <w:sz w:val="24"/>
        </w:rPr>
        <w:t>Firm represents and warrants that its policy prohibits discrimination against any employee or applicant for employment because of race, color, religion, sex, national origin, age, disability, or veteran’s status.  Further, Firm takes affirmative action to ensure that applicants are employed, and that employees are treated during employment, without regard to their race, color, religion, sex, national origin, age, disability, or veteran’s status.  In performing the Services for Company, Firm agrees to and warrants that it will comply with all applicable legal and other requirements necessary to provide the Services.  Firm warrants that it will comply with all applicable laws, regulations, statutes, and ordinances (as amended), including, but not limited to:  (a) Title VII of the Civil Rights Act of 1964; (b) The Civil Rights Act of 1991; (c) The Age Discrimination in Employment Act; (d) The Americans with Disabilities Act; (e) The Fair Credit Reporting Act; (f) Texas Labor Code; (g) Texas Workers’ Compensation Act; (h) The Economic Espionage Act; (i) The Uniformed Services Employment and Re-employment Rights Act of 1994; (j) The Immigration Reform and Control Act of 1986; (k) Executive Order 11,246; (l) The Equal Pay Act; (m) The Occupational Safety &amp; Health Act; and (n) The Family and Medical Leave Act.</w:t>
      </w:r>
    </w:p>
    <w:p>
      <w:pPr>
        <w:pStyle w:val="Normal"/>
        <w:jc w:val="both"/>
        <w:rPr>
          <w:sz w:val="24"/>
        </w:rPr>
      </w:pPr>
      <w:r>
        <w:rPr>
          <w:sz w:val="24"/>
        </w:rPr>
      </w:r>
    </w:p>
    <w:p>
      <w:pPr>
        <w:pStyle w:val="Normal"/>
        <w:jc w:val="both"/>
        <w:rPr/>
      </w:pPr>
      <w:r>
        <w:rPr>
          <w:b/>
          <w:sz w:val="24"/>
        </w:rPr>
        <w:t>7.</w:t>
        <w:tab/>
      </w:r>
      <w:r>
        <w:rPr>
          <w:b/>
          <w:sz w:val="24"/>
          <w:u w:val="single"/>
        </w:rPr>
        <w:t>Termination of Agreement</w:t>
      </w:r>
      <w:r>
        <w:rPr>
          <w:b/>
          <w:sz w:val="24"/>
        </w:rPr>
        <w:t xml:space="preserve">.  </w:t>
      </w:r>
      <w:r>
        <w:rPr>
          <w:sz w:val="24"/>
        </w:rPr>
        <w:t>Company may terminate this Agreement at any time for any reason whatsoever, with or without cause, by furnishing Firm with written notice of such termination, which shall become effective immediately.  If Firm has not filled a position prior to the termination of this Agreement, Firm is not entitled to compensation for Services relating to any incomplete search.</w:t>
      </w:r>
    </w:p>
    <w:p>
      <w:pPr>
        <w:pStyle w:val="Normal"/>
        <w:jc w:val="both"/>
        <w:rPr>
          <w:sz w:val="24"/>
        </w:rPr>
      </w:pPr>
      <w:r>
        <w:rPr>
          <w:sz w:val="24"/>
        </w:rPr>
      </w:r>
    </w:p>
    <w:p>
      <w:pPr>
        <w:pStyle w:val="Normal"/>
        <w:jc w:val="both"/>
        <w:rPr>
          <w:sz w:val="24"/>
        </w:rPr>
      </w:pPr>
      <w:r>
        <w:rPr>
          <w:sz w:val="24"/>
        </w:rPr>
        <w:t>Termination of this Agreement shall not terminate or cancel Firm’s continuing obligations to Company, including, but not limited to, Firm’s continuing obligations of confidentiality and indemnification.</w:t>
      </w:r>
    </w:p>
    <w:p>
      <w:pPr>
        <w:pStyle w:val="Normal"/>
        <w:jc w:val="both"/>
        <w:rPr>
          <w:sz w:val="24"/>
        </w:rPr>
      </w:pPr>
      <w:r>
        <w:rPr>
          <w:sz w:val="24"/>
        </w:rPr>
      </w:r>
    </w:p>
    <w:p>
      <w:pPr>
        <w:pStyle w:val="Normal"/>
        <w:jc w:val="both"/>
        <w:rPr/>
      </w:pPr>
      <w:r>
        <w:rPr>
          <w:b/>
          <w:sz w:val="24"/>
        </w:rPr>
        <w:t>8.</w:t>
        <w:tab/>
      </w:r>
      <w:r>
        <w:rPr>
          <w:b/>
          <w:sz w:val="24"/>
          <w:u w:val="single"/>
        </w:rPr>
        <w:t>Confidentiality</w:t>
      </w:r>
      <w:r>
        <w:rPr>
          <w:b/>
          <w:sz w:val="24"/>
        </w:rPr>
        <w:t xml:space="preserve">.  </w:t>
      </w:r>
      <w:r>
        <w:rPr>
          <w:sz w:val="24"/>
        </w:rPr>
        <w:t>Firm acknowledges that the Company’s business is highly competitive and that the Company’s books, records, and documents; Company’s technical information concerning its products, equipment, services, and processes; personnel information such as position, salaries, bonuses, other compensation, performance evaluations, organization charts, hiring/retention strategies, and other personnel matters; procurement procedures and pricing techniques; and the names of and other information (such as credit and financial data) concerning the Company’s customers and business affiliates, all comprise confidential business information and trade secrets of the Company which are valuable, special, and unique proprietary assets of the Company.  Firm further acknowledges that protection of the Company’s confidential business information or trade secrets against unauthorized disclosure and use is of critical importance to the Company in maintaining its competitive position.  Accordingly, Firm agrees that it will not, at any time during or after the Term, make any unauthorized disclosure of any confidential business information or trade secrets of the Company, or make any use thereof, except for the benefit of, and on behalf of, the Company.  The provisions of this Section shall survive the termination of this Agreement.</w:t>
      </w:r>
    </w:p>
    <w:p>
      <w:pPr>
        <w:pStyle w:val="Normal"/>
        <w:jc w:val="both"/>
        <w:rPr>
          <w:sz w:val="24"/>
        </w:rPr>
      </w:pPr>
      <w:r>
        <w:rPr>
          <w:sz w:val="24"/>
        </w:rPr>
        <w:t xml:space="preserve"> </w:t>
      </w:r>
    </w:p>
    <w:p>
      <w:pPr>
        <w:pStyle w:val="BodyText"/>
        <w:rPr/>
      </w:pPr>
      <w:r>
        <w:rPr>
          <w:b/>
        </w:rPr>
        <w:t>9.</w:t>
        <w:tab/>
      </w:r>
      <w:r>
        <w:rPr>
          <w:b/>
          <w:u w:val="single"/>
        </w:rPr>
        <w:t>Conflict of Interest</w:t>
      </w:r>
      <w:r>
        <w:rPr>
          <w:b/>
        </w:rPr>
        <w:t>.</w:t>
      </w:r>
      <w:r>
        <w:rPr/>
        <w:t xml:space="preserve"> Firm agrees to use Firm’s best efforts, skill, and abilities so long as Firm’s services are retained hereunder to promote the best interest of Company and its business.  During the term of this Agreement, Firm agrees that, without prior written approval of the President of the Company, Firm will not directly or indirectly for itself or for others consult, advise, counsel, or otherwise assist any competitor, customer, or supplier of Company or any affiliate which, in any manner, would have, or is likely to have, an adverse effect upon Company or any affiliate.</w:t>
      </w:r>
    </w:p>
    <w:p>
      <w:pPr>
        <w:pStyle w:val="Heading2"/>
        <w:ind w:hanging="0" w:start="0"/>
        <w:rPr/>
      </w:pPr>
      <w:r>
        <w:rPr/>
      </w:r>
    </w:p>
    <w:p>
      <w:pPr>
        <w:pStyle w:val="Normal"/>
        <w:jc w:val="both"/>
        <w:rPr/>
      </w:pPr>
      <w:r>
        <w:rPr>
          <w:b/>
          <w:sz w:val="24"/>
        </w:rPr>
        <w:t>10.</w:t>
        <w:tab/>
      </w:r>
      <w:r>
        <w:rPr>
          <w:b/>
          <w:sz w:val="24"/>
          <w:u w:val="single"/>
        </w:rPr>
        <w:t>Insurance</w:t>
      </w:r>
      <w:r>
        <w:rPr>
          <w:b/>
          <w:sz w:val="24"/>
        </w:rPr>
        <w:t xml:space="preserve">.  </w:t>
      </w:r>
      <w:r>
        <w:rPr>
          <w:sz w:val="24"/>
        </w:rPr>
        <w:t>Firm shall procure and maintain insurance coverage as may be requested by Company.</w:t>
      </w:r>
    </w:p>
    <w:p>
      <w:pPr>
        <w:pStyle w:val="Normal"/>
        <w:rPr>
          <w:sz w:val="24"/>
        </w:rPr>
      </w:pPr>
      <w:r>
        <w:rPr>
          <w:sz w:val="24"/>
        </w:rPr>
      </w:r>
    </w:p>
    <w:p>
      <w:pPr>
        <w:pStyle w:val="Normal"/>
        <w:jc w:val="both"/>
        <w:rPr/>
      </w:pPr>
      <w:r>
        <w:rPr>
          <w:b/>
          <w:sz w:val="24"/>
        </w:rPr>
        <w:t>11.</w:t>
        <w:tab/>
      </w:r>
      <w:r>
        <w:rPr>
          <w:b/>
          <w:sz w:val="24"/>
          <w:u w:val="single"/>
        </w:rPr>
        <w:t>Independent Contractor</w:t>
      </w:r>
      <w:r>
        <w:rPr>
          <w:b/>
          <w:sz w:val="24"/>
        </w:rPr>
        <w:t xml:space="preserve">.  </w:t>
      </w:r>
      <w:r>
        <w:rPr>
          <w:sz w:val="24"/>
        </w:rPr>
        <w:t>The Services to be performed under this Agreement are that of an independent contractor, and not as an employee of Company.  Firm is not entitled to the benefits Company provides to its employees; those benefits include insurance and participation in pension and benefit plans.  Company will not provide Firm with benefits for unemployment or worker’s compensation; Firm should procure its own insurance coverage.  Firm is responsible for payment of all taxes, including federal, state, and local taxes arising out of Firm’s activities under this Agreement.</w:t>
      </w:r>
    </w:p>
    <w:p>
      <w:pPr>
        <w:pStyle w:val="Normal"/>
        <w:jc w:val="both"/>
        <w:rPr>
          <w:sz w:val="24"/>
        </w:rPr>
      </w:pPr>
      <w:r>
        <w:rPr>
          <w:sz w:val="24"/>
        </w:rPr>
      </w:r>
    </w:p>
    <w:p>
      <w:pPr>
        <w:pStyle w:val="Normal"/>
        <w:jc w:val="both"/>
        <w:rPr>
          <w:b/>
          <w:caps/>
          <w:spacing w:val="-3"/>
        </w:rPr>
      </w:pPr>
      <w:r>
        <w:rPr>
          <w:b/>
          <w:sz w:val="24"/>
        </w:rPr>
        <w:t>12.</w:t>
        <w:tab/>
      </w:r>
      <w:r>
        <w:rPr>
          <w:b/>
          <w:caps/>
          <w:sz w:val="24"/>
          <w:u w:val="single"/>
        </w:rPr>
        <w:t>Indemnification</w:t>
      </w:r>
      <w:r>
        <w:rPr>
          <w:b/>
          <w:caps/>
          <w:sz w:val="24"/>
        </w:rPr>
        <w:t>.  Firm</w:t>
      </w:r>
      <w:r>
        <w:rPr>
          <w:b/>
          <w:caps/>
          <w:spacing w:val="-3"/>
          <w:sz w:val="24"/>
        </w:rPr>
        <w:t xml:space="preserve"> agrees to defend, protect, release, indemnify, and hold company, its officers, directors, agents, and employees, and its affiliates and subsidiaries, and their respective officers, directors, agents and employees, harmless from and against any and all claims, demands, causes of action brought by Firm, any candidate, or third parties for economic losses, damage to property (tangible or intangible), or injuries or death of persons, and all expenses (including reasonable and necessary attorney’s fees), costs, liabilities, and judgments incurred in connection therewith, arising out of, or resulting from Firm’s actions or inactions under this agreement, including Firm’s negligence, gross negligence, violation of statutes, or breach of legal duty in connection with or arising out of or in any way incident to or in connection with the services provided herein.  In the event that an indemnified party is adjudicated to have been partially or solely legally responsible for such economic losses, damage to property (tangible or intangible), or injuries or death of persons, this contractual obligation of indemnification shall continue, but Firm’s indemnification obligation shall not extend to the percent of responsibility attributed to the indemnity.  This contractual obligation of indemnification shall survive settlement of any underlying third party claim, including voluntary settlements made by the indemnity with such third party.  firm agrees to indemnify and defend company for any claim, demand, or cause of action for any company benefits made by a contract employee that is placed by the firm as a contractor with the company for any period of time.</w:t>
      </w:r>
    </w:p>
    <w:p>
      <w:pPr>
        <w:pStyle w:val="Normal"/>
        <w:jc w:val="both"/>
        <w:rPr>
          <w:b/>
          <w:caps/>
          <w:spacing w:val="-3"/>
          <w:sz w:val="24"/>
        </w:rPr>
      </w:pPr>
      <w:r>
        <w:rPr>
          <w:b/>
          <w:caps/>
          <w:spacing w:val="-3"/>
          <w:sz w:val="24"/>
        </w:rPr>
      </w:r>
    </w:p>
    <w:p>
      <w:pPr>
        <w:pStyle w:val="Normal"/>
        <w:jc w:val="both"/>
        <w:rPr>
          <w:sz w:val="24"/>
        </w:rPr>
      </w:pPr>
      <w:r>
        <w:rPr>
          <w:b/>
          <w:sz w:val="24"/>
        </w:rPr>
        <w:t>13.</w:t>
        <w:tab/>
      </w:r>
      <w:r>
        <w:rPr>
          <w:b/>
          <w:sz w:val="24"/>
          <w:u w:val="single"/>
        </w:rPr>
        <w:t>Miscellaneous</w:t>
      </w:r>
      <w:r>
        <w:rPr>
          <w:b/>
          <w:sz w:val="24"/>
        </w:rPr>
        <w:t xml:space="preserve">.  </w:t>
      </w:r>
    </w:p>
    <w:p>
      <w:pPr>
        <w:pStyle w:val="Normal"/>
        <w:jc w:val="both"/>
        <w:rPr>
          <w:sz w:val="24"/>
        </w:rPr>
      </w:pPr>
      <w:r>
        <w:rPr>
          <w:sz w:val="24"/>
        </w:rPr>
      </w:r>
    </w:p>
    <w:p>
      <w:pPr>
        <w:pStyle w:val="Normal"/>
        <w:numPr>
          <w:ilvl w:val="0"/>
          <w:numId w:val="2"/>
        </w:numPr>
        <w:tabs>
          <w:tab w:val="left" w:pos="720" w:leader="none"/>
        </w:tabs>
        <w:ind w:firstLine="720" w:start="0" w:end="0"/>
        <w:jc w:val="both"/>
        <w:rPr>
          <w:sz w:val="24"/>
        </w:rPr>
      </w:pPr>
      <w:r>
        <w:rPr>
          <w:b/>
          <w:sz w:val="24"/>
          <w:u w:val="single"/>
        </w:rPr>
        <w:t>Applicable Law/Venue</w:t>
      </w:r>
      <w:r>
        <w:rPr>
          <w:b/>
          <w:sz w:val="24"/>
        </w:rPr>
        <w:t xml:space="preserve">.  </w:t>
      </w:r>
      <w:r>
        <w:rPr>
          <w:sz w:val="24"/>
        </w:rPr>
        <w:t>This Agreement is governed by Texas law and is deemed to have been made in the State of Texas.  With respect to any suit, action, or proceeding relating to this Agreement, each party submits to the exclusive jurisdiction of the courts of the State of Texas and the United States District Court located in Harris County, Texas, and waives any objection to jurisdiction in those courts.</w:t>
      </w:r>
    </w:p>
    <w:p>
      <w:pPr>
        <w:pStyle w:val="Normal"/>
        <w:numPr>
          <w:ilvl w:val="0"/>
          <w:numId w:val="0"/>
        </w:numPr>
        <w:tabs>
          <w:tab w:val="left" w:pos="720" w:leader="none"/>
        </w:tabs>
        <w:ind w:hanging="0" w:start="720" w:end="0"/>
        <w:jc w:val="both"/>
        <w:rPr>
          <w:sz w:val="24"/>
        </w:rPr>
      </w:pPr>
      <w:r>
        <w:rPr>
          <w:sz w:val="24"/>
        </w:rPr>
      </w:r>
    </w:p>
    <w:p>
      <w:pPr>
        <w:pStyle w:val="Normal"/>
        <w:numPr>
          <w:ilvl w:val="0"/>
          <w:numId w:val="2"/>
        </w:numPr>
        <w:tabs>
          <w:tab w:val="left" w:pos="720" w:leader="none"/>
        </w:tabs>
        <w:ind w:firstLine="720" w:start="0" w:end="0"/>
        <w:jc w:val="both"/>
        <w:rPr>
          <w:sz w:val="24"/>
        </w:rPr>
      </w:pPr>
      <w:r>
        <w:rPr>
          <w:b/>
          <w:sz w:val="24"/>
          <w:u w:val="single"/>
        </w:rPr>
        <w:t>Assignment</w:t>
      </w:r>
      <w:r>
        <w:rPr>
          <w:b/>
          <w:sz w:val="24"/>
        </w:rPr>
        <w:t xml:space="preserve">.  </w:t>
      </w:r>
      <w:r>
        <w:rPr>
          <w:sz w:val="24"/>
        </w:rPr>
        <w:t>This Agreement may not be assigned by Firm without the prior written consent of Company.</w:t>
      </w:r>
    </w:p>
    <w:p>
      <w:pPr>
        <w:pStyle w:val="Normal"/>
        <w:numPr>
          <w:ilvl w:val="0"/>
          <w:numId w:val="0"/>
        </w:numPr>
        <w:tabs>
          <w:tab w:val="left" w:pos="720" w:leader="none"/>
        </w:tabs>
        <w:ind w:hanging="0" w:start="0"/>
        <w:jc w:val="both"/>
        <w:rPr>
          <w:sz w:val="24"/>
        </w:rPr>
      </w:pPr>
      <w:r>
        <w:rPr>
          <w:sz w:val="24"/>
        </w:rPr>
      </w:r>
    </w:p>
    <w:p>
      <w:pPr>
        <w:pStyle w:val="Normal"/>
        <w:numPr>
          <w:ilvl w:val="0"/>
          <w:numId w:val="2"/>
        </w:numPr>
        <w:tabs>
          <w:tab w:val="left" w:pos="720" w:leader="none"/>
        </w:tabs>
        <w:ind w:firstLine="720" w:start="0" w:end="0"/>
        <w:jc w:val="both"/>
        <w:rPr>
          <w:sz w:val="24"/>
        </w:rPr>
      </w:pPr>
      <w:r>
        <w:rPr>
          <w:b/>
          <w:sz w:val="24"/>
          <w:u w:val="single"/>
        </w:rPr>
        <w:t>Notices</w:t>
      </w:r>
      <w:r>
        <w:rPr>
          <w:b/>
          <w:sz w:val="24"/>
        </w:rPr>
        <w:t xml:space="preserve">.  </w:t>
      </w:r>
      <w:r>
        <w:rPr>
          <w:sz w:val="24"/>
        </w:rPr>
        <w:t>All notices and other communications shall be sent to the parties by certified mail at their respective addresses or via-facsimile as set forth above.  Notices shall be deemed to have been received on the third day after mailing or upon the date of facsimile transmission.</w:t>
      </w:r>
    </w:p>
    <w:p>
      <w:pPr>
        <w:pStyle w:val="Normal"/>
        <w:numPr>
          <w:ilvl w:val="0"/>
          <w:numId w:val="0"/>
        </w:numPr>
        <w:tabs>
          <w:tab w:val="left" w:pos="720" w:leader="none"/>
        </w:tabs>
        <w:ind w:hanging="0" w:start="0"/>
        <w:jc w:val="both"/>
        <w:rPr>
          <w:sz w:val="24"/>
        </w:rPr>
      </w:pPr>
      <w:r>
        <w:rPr>
          <w:sz w:val="24"/>
        </w:rPr>
      </w:r>
    </w:p>
    <w:p>
      <w:pPr>
        <w:pStyle w:val="Normal"/>
        <w:numPr>
          <w:ilvl w:val="0"/>
          <w:numId w:val="2"/>
        </w:numPr>
        <w:tabs>
          <w:tab w:val="left" w:pos="720" w:leader="none"/>
        </w:tabs>
        <w:ind w:firstLine="720" w:start="0" w:end="0"/>
        <w:jc w:val="both"/>
        <w:rPr>
          <w:sz w:val="24"/>
        </w:rPr>
      </w:pPr>
      <w:r>
        <w:rPr>
          <w:b/>
          <w:sz w:val="24"/>
          <w:u w:val="single"/>
        </w:rPr>
        <w:t>Damages</w:t>
      </w:r>
      <w:r>
        <w:rPr>
          <w:b/>
          <w:sz w:val="24"/>
        </w:rPr>
        <w:t xml:space="preserve">.  </w:t>
      </w:r>
      <w:r>
        <w:rPr>
          <w:sz w:val="24"/>
        </w:rPr>
        <w:t>Money damages will not be sufficient remedy to the Company for any breach of this Agreement by Firm, and Company shall be entitled to specific performance and injunctive relief as remedies for any such breach.  Such remedies shall not be deemed to be the exclusive remedies for a breach of this Agreement by Firm or Firm’s employees, but shall be in addition to all other remedies available at law or in equity to the Company.</w:t>
      </w:r>
    </w:p>
    <w:p>
      <w:pPr>
        <w:pStyle w:val="Normal"/>
        <w:numPr>
          <w:ilvl w:val="0"/>
          <w:numId w:val="0"/>
        </w:numPr>
        <w:tabs>
          <w:tab w:val="left" w:pos="720" w:leader="none"/>
        </w:tabs>
        <w:ind w:hanging="0" w:start="0"/>
        <w:jc w:val="both"/>
        <w:rPr>
          <w:sz w:val="24"/>
        </w:rPr>
      </w:pPr>
      <w:r>
        <w:rPr>
          <w:sz w:val="24"/>
        </w:rPr>
      </w:r>
    </w:p>
    <w:p>
      <w:pPr>
        <w:pStyle w:val="Normal"/>
        <w:numPr>
          <w:ilvl w:val="0"/>
          <w:numId w:val="2"/>
        </w:numPr>
        <w:tabs>
          <w:tab w:val="left" w:pos="720" w:leader="none"/>
        </w:tabs>
        <w:ind w:firstLine="720" w:start="0" w:end="0"/>
        <w:jc w:val="both"/>
        <w:rPr>
          <w:sz w:val="24"/>
        </w:rPr>
      </w:pPr>
      <w:r>
        <w:rPr>
          <w:b/>
          <w:sz w:val="24"/>
          <w:u w:val="single"/>
        </w:rPr>
        <w:t>No Waiver</w:t>
      </w:r>
      <w:r>
        <w:rPr>
          <w:b/>
          <w:sz w:val="24"/>
        </w:rPr>
        <w:t>.</w:t>
      </w:r>
      <w:r>
        <w:rPr>
          <w:sz w:val="24"/>
        </w:rPr>
        <w:t xml:space="preserve">  No term or provision of this Agreement shall be deemed waived and no breach excused, unless such waiver or consent is written and signed by the party who is claimed to have waived or consented.  Any such consent or waiver shall not constitute a consent to, waiver of, or excuse for any other different or subsequent breach.</w:t>
      </w:r>
    </w:p>
    <w:p>
      <w:pPr>
        <w:pStyle w:val="Normal"/>
        <w:numPr>
          <w:ilvl w:val="0"/>
          <w:numId w:val="0"/>
        </w:numPr>
        <w:tabs>
          <w:tab w:val="left" w:pos="720" w:leader="none"/>
        </w:tabs>
        <w:ind w:hanging="0" w:start="0"/>
        <w:jc w:val="both"/>
        <w:rPr>
          <w:sz w:val="24"/>
        </w:rPr>
      </w:pPr>
      <w:r>
        <w:rPr>
          <w:sz w:val="24"/>
        </w:rPr>
      </w:r>
    </w:p>
    <w:p>
      <w:pPr>
        <w:pStyle w:val="Normal"/>
        <w:numPr>
          <w:ilvl w:val="0"/>
          <w:numId w:val="2"/>
        </w:numPr>
        <w:tabs>
          <w:tab w:val="left" w:pos="720" w:leader="none"/>
        </w:tabs>
        <w:ind w:firstLine="720" w:start="0" w:end="0"/>
        <w:jc w:val="both"/>
        <w:rPr>
          <w:sz w:val="24"/>
        </w:rPr>
      </w:pPr>
      <w:r>
        <w:rPr>
          <w:b/>
          <w:sz w:val="24"/>
          <w:u w:val="single"/>
        </w:rPr>
        <w:t>Entire Agreement</w:t>
      </w:r>
      <w:r>
        <w:rPr>
          <w:b/>
          <w:sz w:val="24"/>
        </w:rPr>
        <w:t>:</w:t>
      </w:r>
      <w:r>
        <w:rPr>
          <w:sz w:val="24"/>
        </w:rPr>
        <w:t xml:space="preserve">  The terms and provision of this Agreement are intended to supersede any conflicting terms or conditions in any other agreement between the parties.  This Agreement contains the entire agreement between the parties and shall not be modified except by written instrument duly executed by both parties.  Any prior agreement between Firm and Company or any of its affiliates is not binding for the Services provided hereunder.</w:t>
      </w:r>
    </w:p>
    <w:p>
      <w:pPr>
        <w:pStyle w:val="Normal"/>
        <w:tabs>
          <w:tab w:val="left" w:pos="720" w:leader="none"/>
        </w:tabs>
        <w:rPr>
          <w:sz w:val="24"/>
        </w:rPr>
      </w:pPr>
      <w:r>
        <w:rPr>
          <w:sz w:val="24"/>
        </w:rPr>
      </w:r>
    </w:p>
    <w:p>
      <w:pPr>
        <w:pStyle w:val="Normal"/>
        <w:tabs>
          <w:tab w:val="clear" w:pos="720"/>
          <w:tab w:val="left" w:pos="450" w:leader="none"/>
        </w:tabs>
        <w:jc w:val="both"/>
        <w:rPr>
          <w:b/>
          <w:sz w:val="24"/>
          <w:lang w:val="en-CA"/>
        </w:rPr>
      </w:pPr>
      <w:r>
        <w:rPr>
          <w:b/>
          <w:sz w:val="24"/>
          <w:lang w:val="en-CA"/>
        </w:rPr>
      </w:r>
    </w:p>
    <w:p>
      <w:pPr>
        <w:pStyle w:val="Normal"/>
        <w:tabs>
          <w:tab w:val="clear" w:pos="720"/>
          <w:tab w:val="left" w:pos="450" w:leader="none"/>
        </w:tabs>
        <w:jc w:val="both"/>
        <w:rPr>
          <w:b/>
          <w:sz w:val="24"/>
        </w:rPr>
      </w:pPr>
      <w:r>
        <w:rPr>
          <w:b/>
          <w:sz w:val="24"/>
        </w:rPr>
        <w:tab/>
      </w:r>
      <w:r>
        <w:rPr>
          <w:b/>
          <w:sz w:val="24"/>
        </w:rPr>
        <w:fldChar w:fldCharType="begin"/>
      </w:r>
      <w:r>
        <w:rPr>
          <w:sz w:val="24"/>
          <w:b/>
        </w:rPr>
        <w:instrText xml:space="preserve"> MERGEFIELD ContingencySearchFirmName </w:instrText>
      </w:r>
      <w:r>
        <w:rPr>
          <w:sz w:val="24"/>
          <w:b/>
        </w:rPr>
        <w:fldChar w:fldCharType="separate"/>
      </w:r>
      <w:r>
        <w:rPr>
          <w:sz w:val="24"/>
          <w:b/>
        </w:rPr>
        <w:t>«ContingencySearchFirmName»</w:t>
      </w:r>
      <w:r>
        <w:rPr>
          <w:sz w:val="24"/>
          <w:b/>
        </w:rPr>
        <w:fldChar w:fldCharType="end"/>
      </w:r>
      <w:r>
        <w:rPr>
          <w:sz w:val="24"/>
        </w:rPr>
        <w:tab/>
        <w:tab/>
        <w:tab/>
      </w:r>
      <w:r>
        <w:rPr>
          <w:b/>
          <w:sz w:val="24"/>
        </w:rPr>
        <w:fldChar w:fldCharType="begin"/>
      </w:r>
      <w:r>
        <w:rPr>
          <w:sz w:val="24"/>
          <w:b/>
        </w:rPr>
        <w:instrText xml:space="preserve"> MERGEFIELD EnronCompanyName </w:instrText>
      </w:r>
      <w:r>
        <w:rPr>
          <w:sz w:val="24"/>
          <w:b/>
        </w:rPr>
        <w:fldChar w:fldCharType="separate"/>
      </w:r>
      <w:r>
        <w:rPr>
          <w:sz w:val="24"/>
          <w:b/>
        </w:rPr>
        <w:t>«EnronCompanyName»</w:t>
      </w:r>
      <w:r>
        <w:rPr>
          <w:sz w:val="24"/>
          <w:b/>
        </w:rPr>
        <w:fldChar w:fldCharType="end"/>
      </w:r>
    </w:p>
    <w:p>
      <w:pPr>
        <w:pStyle w:val="Normal"/>
        <w:tabs>
          <w:tab w:val="left" w:pos="720" w:leader="none"/>
        </w:tabs>
        <w:jc w:val="both"/>
        <w:rPr>
          <w:b/>
          <w:sz w:val="24"/>
        </w:rPr>
      </w:pPr>
      <w:r>
        <w:rPr>
          <w:b/>
          <w:sz w:val="24"/>
        </w:rPr>
      </w:r>
    </w:p>
    <w:p>
      <w:pPr>
        <w:pStyle w:val="Normal"/>
        <w:tabs>
          <w:tab w:val="left" w:pos="720" w:leader="none"/>
        </w:tabs>
        <w:jc w:val="both"/>
        <w:rPr>
          <w:b/>
          <w:sz w:val="24"/>
        </w:rPr>
      </w:pPr>
      <w:r>
        <w:rPr>
          <w:b/>
          <w:sz w:val="24"/>
        </w:rPr>
      </w:r>
    </w:p>
    <w:p>
      <w:pPr>
        <w:pStyle w:val="Normal"/>
        <w:tabs>
          <w:tab w:val="left" w:pos="720" w:leader="none"/>
        </w:tabs>
        <w:jc w:val="both"/>
        <w:rPr>
          <w:b/>
          <w:sz w:val="24"/>
        </w:rPr>
      </w:pPr>
      <w:r>
        <w:rPr>
          <w:b/>
          <w:sz w:val="24"/>
        </w:rPr>
      </w:r>
    </w:p>
    <w:p>
      <w:pPr>
        <w:pStyle w:val="Normal"/>
        <w:tabs>
          <w:tab w:val="left" w:pos="720" w:leader="none"/>
        </w:tabs>
        <w:jc w:val="both"/>
        <w:rPr>
          <w:b/>
          <w:sz w:val="24"/>
        </w:rPr>
      </w:pPr>
      <w:r>
        <w:rPr>
          <w:b/>
          <w:sz w:val="24"/>
        </w:rPr>
      </w:r>
    </w:p>
    <w:p>
      <w:pPr>
        <w:pStyle w:val="Normal"/>
        <w:tabs>
          <w:tab w:val="left" w:pos="720" w:leader="none"/>
        </w:tabs>
        <w:jc w:val="both"/>
        <w:rPr>
          <w:sz w:val="24"/>
        </w:rPr>
      </w:pPr>
      <w:r>
        <w:rPr>
          <w:sz w:val="24"/>
        </w:rPr>
        <w:t xml:space="preserve">By:  </w:t>
      </w:r>
      <w:r>
        <w:rPr>
          <w:sz w:val="24"/>
          <w:u w:val="single"/>
        </w:rPr>
        <w:tab/>
        <w:tab/>
        <w:tab/>
        <w:tab/>
        <w:tab/>
        <w:tab/>
      </w:r>
      <w:r>
        <w:rPr>
          <w:sz w:val="24"/>
        </w:rPr>
        <w:tab/>
        <w:t xml:space="preserve">By:  </w:t>
      </w:r>
      <w:r>
        <w:rPr>
          <w:sz w:val="24"/>
          <w:u w:val="single"/>
        </w:rPr>
        <w:tab/>
        <w:tab/>
        <w:tab/>
        <w:tab/>
        <w:tab/>
        <w:tab/>
      </w:r>
    </w:p>
    <w:p>
      <w:pPr>
        <w:pStyle w:val="Normal"/>
        <w:tabs>
          <w:tab w:val="clear" w:pos="720"/>
          <w:tab w:val="left" w:pos="450" w:leader="none"/>
          <w:tab w:val="left" w:pos="4770" w:leader="none"/>
          <w:tab w:val="left" w:pos="5490" w:leader="none"/>
        </w:tabs>
        <w:jc w:val="both"/>
        <w:rPr>
          <w:sz w:val="24"/>
        </w:rPr>
      </w:pPr>
      <w:r>
        <w:rPr>
          <w:sz w:val="24"/>
        </w:rPr>
        <w:tab/>
      </w:r>
      <w:r>
        <w:rPr>
          <w:sz w:val="24"/>
        </w:rPr>
        <w:fldChar w:fldCharType="begin"/>
      </w:r>
      <w:r>
        <w:rPr>
          <w:sz w:val="24"/>
        </w:rPr>
        <w:instrText xml:space="preserve"> MERGEFIELD ContractorSignerName </w:instrText>
      </w:r>
      <w:r>
        <w:rPr>
          <w:sz w:val="24"/>
        </w:rPr>
        <w:fldChar w:fldCharType="separate"/>
      </w:r>
      <w:r>
        <w:rPr>
          <w:sz w:val="24"/>
        </w:rPr>
        <w:t>«FirmSignerName»</w:t>
      </w:r>
      <w:r>
        <w:rPr>
          <w:sz w:val="24"/>
        </w:rPr>
        <w:fldChar w:fldCharType="end"/>
      </w:r>
      <w:r>
        <w:rPr>
          <w:sz w:val="24"/>
        </w:rPr>
        <w:tab/>
        <w:t xml:space="preserve">    Name:  </w:t>
      </w:r>
      <w:r>
        <w:rPr>
          <w:sz w:val="24"/>
          <w:u w:val="single"/>
        </w:rPr>
        <w:tab/>
        <w:tab/>
        <w:tab/>
        <w:tab/>
        <w:tab/>
      </w:r>
    </w:p>
    <w:p>
      <w:pPr>
        <w:pStyle w:val="Normal"/>
        <w:tabs>
          <w:tab w:val="clear" w:pos="720"/>
          <w:tab w:val="left" w:pos="450" w:leader="none"/>
          <w:tab w:val="left" w:pos="4770" w:leader="none"/>
          <w:tab w:val="left" w:pos="5490" w:leader="none"/>
        </w:tabs>
        <w:jc w:val="both"/>
        <w:rPr/>
      </w:pPr>
      <w:r>
        <w:rPr>
          <w:sz w:val="24"/>
        </w:rPr>
        <w:tab/>
      </w:r>
      <w:r>
        <w:rPr>
          <w:sz w:val="24"/>
        </w:rPr>
        <w:fldChar w:fldCharType="begin"/>
      </w:r>
      <w:r>
        <w:rPr>
          <w:sz w:val="24"/>
        </w:rPr>
        <w:instrText xml:space="preserve"> MERGEFIELD ContractorSignerTitle </w:instrText>
      </w:r>
      <w:r>
        <w:rPr>
          <w:sz w:val="24"/>
        </w:rPr>
        <w:fldChar w:fldCharType="separate"/>
      </w:r>
      <w:r>
        <w:rPr>
          <w:sz w:val="24"/>
        </w:rPr>
        <w:t>«FirmSignerTitle»</w:t>
      </w:r>
      <w:r>
        <w:rPr>
          <w:sz w:val="24"/>
        </w:rPr>
        <w:fldChar w:fldCharType="end"/>
      </w:r>
      <w:r>
        <w:rPr>
          <w:sz w:val="24"/>
        </w:rPr>
        <w:tab/>
        <w:t xml:space="preserve">    Title:   </w:t>
      </w:r>
      <w:r>
        <w:rPr>
          <w:sz w:val="24"/>
          <w:u w:val="single"/>
        </w:rPr>
        <w:tab/>
        <w:tab/>
        <w:tab/>
        <w:tab/>
        <w:tab/>
        <w:tab/>
      </w:r>
    </w:p>
    <w:p>
      <w:pPr>
        <w:pStyle w:val="Heading3"/>
        <w:tabs>
          <w:tab w:val="clear" w:pos="720"/>
          <w:tab w:val="clear" w:pos="4770"/>
          <w:tab w:val="left" w:pos="450" w:leader="none"/>
          <w:tab w:val="left" w:pos="4320" w:leader="none"/>
          <w:tab w:val="left" w:pos="5040" w:leader="none"/>
        </w:tabs>
        <w:ind w:hanging="0" w:start="0"/>
        <w:rPr/>
      </w:pPr>
      <w:r>
        <w:rPr/>
        <w:tab/>
        <w:t xml:space="preserve">Date:  </w:t>
      </w:r>
      <w:r>
        <w:rPr>
          <w:u w:val="single"/>
        </w:rPr>
        <w:tab/>
      </w:r>
      <w:r>
        <w:rPr/>
        <w:tab/>
        <w:t xml:space="preserve">Date:  </w:t>
      </w:r>
      <w:r>
        <w:rPr>
          <w:u w:val="single"/>
        </w:rPr>
        <w:tab/>
        <w:tab/>
        <w:tab/>
        <w:tab/>
        <w:tab/>
        <w:tab/>
      </w:r>
    </w:p>
    <w:p>
      <w:pPr>
        <w:pStyle w:val="Normal"/>
        <w:rPr>
          <w:u w:val="single"/>
        </w:rPr>
      </w:pPr>
      <w:r>
        <w:rPr>
          <w:u w:val="single"/>
        </w:rPr>
      </w:r>
    </w:p>
    <w:p>
      <w:pPr>
        <w:pStyle w:val="Normal"/>
        <w:rPr/>
      </w:pPr>
      <w:r>
        <w:rPr/>
      </w:r>
    </w:p>
    <w:p>
      <w:pPr>
        <w:pStyle w:val="Normal"/>
        <w:rPr/>
      </w:pPr>
      <w:r>
        <w:rPr/>
      </w:r>
    </w:p>
    <w:p>
      <w:pPr>
        <w:pStyle w:val="Normal"/>
        <w:tabs>
          <w:tab w:val="left" w:pos="720" w:leader="none"/>
          <w:tab w:val="left" w:pos="4320" w:leader="none"/>
          <w:tab w:val="left" w:pos="4770" w:leader="none"/>
        </w:tabs>
        <w:jc w:val="center"/>
        <w:rPr>
          <w:b/>
          <w:sz w:val="24"/>
          <w:u w:val="single"/>
        </w:rPr>
      </w:pPr>
      <w:r>
        <w:rPr>
          <w:b/>
          <w:sz w:val="24"/>
          <w:u w:val="single"/>
        </w:rPr>
      </w:r>
      <w:r>
        <w:br w:type="page"/>
      </w:r>
    </w:p>
    <w:p>
      <w:pPr>
        <w:pStyle w:val="Normal"/>
        <w:tabs>
          <w:tab w:val="left" w:pos="720" w:leader="none"/>
          <w:tab w:val="left" w:pos="4320" w:leader="none"/>
          <w:tab w:val="left" w:pos="4770" w:leader="none"/>
        </w:tabs>
        <w:jc w:val="center"/>
        <w:rPr/>
      </w:pPr>
      <w:r>
        <w:rPr>
          <w:b/>
          <w:sz w:val="24"/>
          <w:u w:val="single"/>
        </w:rPr>
        <w:t>PART B:</w:t>
      </w:r>
      <w:r>
        <w:rPr>
          <w:b/>
          <w:sz w:val="24"/>
        </w:rPr>
        <w:t xml:space="preserve">  </w:t>
      </w:r>
      <w:r>
        <w:rPr>
          <w:b/>
          <w:sz w:val="24"/>
          <w:u w:val="single"/>
        </w:rPr>
        <w:t>WORK ORDER</w:t>
      </w:r>
    </w:p>
    <w:p>
      <w:pPr>
        <w:pStyle w:val="Normal"/>
        <w:tabs>
          <w:tab w:val="left" w:pos="720" w:leader="none"/>
          <w:tab w:val="left" w:pos="4320" w:leader="none"/>
          <w:tab w:val="left" w:pos="4770" w:leader="none"/>
        </w:tabs>
        <w:jc w:val="center"/>
        <w:rPr>
          <w:b/>
          <w:sz w:val="24"/>
          <w:u w:val="single"/>
        </w:rPr>
      </w:pPr>
      <w:r>
        <w:rPr>
          <w:b/>
          <w:sz w:val="24"/>
          <w:u w:val="single"/>
        </w:rPr>
      </w:r>
    </w:p>
    <w:p>
      <w:pPr>
        <w:pStyle w:val="Header"/>
        <w:tabs>
          <w:tab w:val="clear" w:pos="4320"/>
          <w:tab w:val="clear" w:pos="8640"/>
        </w:tabs>
        <w:rPr>
          <w:b/>
          <w:sz w:val="24"/>
          <w:u w:val="single"/>
        </w:rPr>
      </w:pPr>
      <w:r>
        <w:rPr>
          <w:b/>
          <w:sz w:val="24"/>
          <w:u w:val="single"/>
        </w:rPr>
        <w:t>Date</w:t>
      </w:r>
      <w:r>
        <w:rPr>
          <w:b/>
          <w:sz w:val="24"/>
        </w:rPr>
        <w:t>:</w:t>
      </w:r>
    </w:p>
    <w:p>
      <w:pPr>
        <w:pStyle w:val="Header"/>
        <w:tabs>
          <w:tab w:val="clear" w:pos="4320"/>
          <w:tab w:val="clear" w:pos="8640"/>
        </w:tabs>
        <w:rPr>
          <w:b/>
          <w:sz w:val="24"/>
          <w:u w:val="single"/>
        </w:rPr>
      </w:pPr>
      <w:r>
        <w:rPr>
          <w:b/>
          <w:sz w:val="24"/>
          <w:u w:val="single"/>
        </w:rPr>
      </w:r>
    </w:p>
    <w:p>
      <w:pPr>
        <w:pStyle w:val="Header"/>
        <w:tabs>
          <w:tab w:val="clear" w:pos="4320"/>
          <w:tab w:val="clear" w:pos="8640"/>
        </w:tabs>
        <w:rPr>
          <w:b/>
          <w:sz w:val="24"/>
          <w:u w:val="single"/>
        </w:rPr>
      </w:pPr>
      <w:r>
        <w:rPr>
          <w:b/>
          <w:sz w:val="24"/>
          <w:u w:val="single"/>
        </w:rPr>
      </w:r>
    </w:p>
    <w:p>
      <w:pPr>
        <w:pStyle w:val="Header"/>
        <w:tabs>
          <w:tab w:val="clear" w:pos="4320"/>
          <w:tab w:val="clear" w:pos="8640"/>
        </w:tabs>
        <w:rPr/>
      </w:pPr>
      <w:r>
        <w:rPr>
          <w:b/>
          <w:sz w:val="24"/>
          <w:u w:val="single"/>
        </w:rPr>
        <w:t>Position</w:t>
      </w:r>
      <w:r>
        <w:rPr>
          <w:b/>
          <w:sz w:val="24"/>
        </w:rPr>
        <w:t xml:space="preserve">:  </w:t>
      </w:r>
      <w:r>
        <w:rPr>
          <w:sz w:val="24"/>
        </w:rPr>
        <w:t xml:space="preserve">Firm may provide information regarding candidates and/or may supply candidates who are qualified to perform the position of </w:t>
      </w:r>
      <w:r>
        <w:rPr>
          <w:sz w:val="24"/>
        </w:rPr>
        <w:fldChar w:fldCharType="begin"/>
      </w:r>
      <w:r>
        <w:rPr>
          <w:sz w:val="24"/>
        </w:rPr>
        <w:instrText xml:space="preserve"> MERGEFIELD Position </w:instrText>
      </w:r>
      <w:r>
        <w:rPr>
          <w:sz w:val="24"/>
        </w:rPr>
        <w:fldChar w:fldCharType="separate"/>
      </w:r>
      <w:r>
        <w:rPr>
          <w:sz w:val="24"/>
        </w:rPr>
        <w:t>«Position»</w:t>
      </w:r>
      <w:r>
        <w:rPr>
          <w:sz w:val="24"/>
        </w:rPr>
        <w:fldChar w:fldCharType="end"/>
      </w:r>
      <w:r>
        <w:rPr>
          <w:sz w:val="24"/>
        </w:rPr>
        <w:t xml:space="preserve">. </w:t>
      </w:r>
    </w:p>
    <w:p>
      <w:pPr>
        <w:pStyle w:val="Header"/>
        <w:tabs>
          <w:tab w:val="clear" w:pos="4320"/>
          <w:tab w:val="clear" w:pos="8640"/>
        </w:tabs>
        <w:rPr>
          <w:sz w:val="24"/>
        </w:rPr>
      </w:pPr>
      <w:r>
        <w:rPr>
          <w:sz w:val="24"/>
        </w:rPr>
      </w:r>
    </w:p>
    <w:p>
      <w:pPr>
        <w:pStyle w:val="Normal"/>
        <w:rPr>
          <w:sz w:val="24"/>
        </w:rPr>
      </w:pPr>
      <w:r>
        <w:rPr>
          <w:sz w:val="24"/>
        </w:rPr>
      </w:r>
    </w:p>
    <w:p>
      <w:pPr>
        <w:pStyle w:val="Normal"/>
        <w:ind w:end="-360"/>
        <w:rPr>
          <w:b/>
          <w:sz w:val="24"/>
          <w:u w:val="single"/>
        </w:rPr>
      </w:pPr>
      <w:r>
        <w:rPr>
          <w:b/>
          <w:sz w:val="24"/>
          <w:u w:val="single"/>
        </w:rPr>
        <w:t>Qualifications/Skills Required</w:t>
      </w:r>
      <w:r>
        <w:rPr>
          <w:b/>
          <w:sz w:val="24"/>
        </w:rPr>
        <w:t>:</w:t>
      </w:r>
    </w:p>
    <w:p>
      <w:pPr>
        <w:pStyle w:val="Normal"/>
        <w:ind w:end="-360"/>
        <w:rPr>
          <w:b/>
          <w:sz w:val="24"/>
          <w:u w:val="single"/>
        </w:rPr>
      </w:pPr>
      <w:r>
        <w:rPr>
          <w:b/>
          <w:sz w:val="24"/>
          <w:u w:val="single"/>
        </w:rPr>
      </w:r>
    </w:p>
    <w:p>
      <w:pPr>
        <w:pStyle w:val="Normal"/>
        <w:ind w:end="-360"/>
        <w:rPr>
          <w:sz w:val="24"/>
        </w:rPr>
      </w:pPr>
      <w:r>
        <w:rPr>
          <w:sz w:val="24"/>
        </w:rPr>
      </w:r>
    </w:p>
    <w:p>
      <w:pPr>
        <w:pStyle w:val="Heading4"/>
        <w:ind w:hanging="0" w:start="0"/>
        <w:rPr/>
      </w:pPr>
      <w:r>
        <w:rPr>
          <w:b/>
          <w:u w:val="single"/>
        </w:rPr>
        <w:t>Person Requesting Search and Approving Work Order</w:t>
      </w:r>
      <w:r>
        <w:rPr>
          <w:b/>
        </w:rPr>
        <w:t>:</w:t>
      </w:r>
      <w:r>
        <w:rPr/>
        <w:t xml:space="preserve">  </w:t>
      </w:r>
      <w:r>
        <w:rPr/>
        <w:fldChar w:fldCharType="begin"/>
      </w:r>
      <w:r>
        <w:rPr/>
        <w:instrText xml:space="preserve"> MERGEFIELD Requestor </w:instrText>
      </w:r>
      <w:r>
        <w:rPr/>
        <w:fldChar w:fldCharType="separate"/>
      </w:r>
      <w:r>
        <w:rPr/>
        <w:t>«Requestor»</w:t>
      </w:r>
      <w:r>
        <w:rPr/>
        <w:fldChar w:fldCharType="end"/>
      </w:r>
    </w:p>
    <w:p>
      <w:pPr>
        <w:pStyle w:val="Normal"/>
        <w:rPr>
          <w:sz w:val="24"/>
        </w:rPr>
      </w:pPr>
      <w:r>
        <w:rPr>
          <w:sz w:val="24"/>
        </w:rPr>
      </w:r>
    </w:p>
    <w:p>
      <w:pPr>
        <w:pStyle w:val="Normal"/>
        <w:rPr>
          <w:sz w:val="24"/>
        </w:rPr>
      </w:pPr>
      <w:r>
        <w:rPr>
          <w:sz w:val="24"/>
        </w:rPr>
      </w:r>
    </w:p>
    <w:p>
      <w:pPr>
        <w:pStyle w:val="Normal"/>
        <w:rPr>
          <w:sz w:val="24"/>
        </w:rPr>
      </w:pPr>
      <w:r>
        <w:rPr>
          <w:b/>
          <w:sz w:val="24"/>
          <w:u w:val="single"/>
        </w:rPr>
        <w:t>RC Code</w:t>
      </w:r>
      <w:r>
        <w:rPr>
          <w:b/>
          <w:sz w:val="24"/>
        </w:rPr>
        <w:t>:</w:t>
      </w:r>
      <w:r>
        <w:rPr>
          <w:sz w:val="24"/>
        </w:rPr>
        <w:tab/>
      </w:r>
      <w:r>
        <w:rPr>
          <w:sz w:val="24"/>
        </w:rPr>
        <w:fldChar w:fldCharType="begin"/>
      </w:r>
      <w:r>
        <w:rPr>
          <w:sz w:val="24"/>
        </w:rPr>
        <w:instrText xml:space="preserve"> MERGEFIELD RCCode </w:instrText>
      </w:r>
      <w:r>
        <w:rPr>
          <w:sz w:val="24"/>
        </w:rPr>
        <w:fldChar w:fldCharType="separate"/>
      </w:r>
      <w:r>
        <w:rPr>
          <w:sz w:val="24"/>
        </w:rPr>
        <w:t>«RCCode»</w:t>
      </w:r>
      <w:r>
        <w:rPr>
          <w:sz w:val="24"/>
        </w:rPr>
        <w:fldChar w:fldCharType="end"/>
      </w:r>
    </w:p>
    <w:p>
      <w:pPr>
        <w:pStyle w:val="Normal"/>
        <w:rPr>
          <w:sz w:val="24"/>
        </w:rPr>
      </w:pPr>
      <w:r>
        <w:rPr>
          <w:sz w:val="24"/>
        </w:rPr>
      </w:r>
    </w:p>
    <w:p>
      <w:pPr>
        <w:pStyle w:val="Normal"/>
        <w:rPr>
          <w:sz w:val="24"/>
        </w:rPr>
      </w:pPr>
      <w:r>
        <w:rPr>
          <w:sz w:val="24"/>
        </w:rPr>
      </w:r>
    </w:p>
    <w:p>
      <w:pPr>
        <w:pStyle w:val="Normal"/>
        <w:rPr/>
      </w:pPr>
      <w:r>
        <w:rPr>
          <w:b/>
          <w:sz w:val="24"/>
          <w:u w:val="single"/>
        </w:rPr>
        <w:t>Responsible Recruiter</w:t>
      </w:r>
      <w:r>
        <w:rPr>
          <w:b/>
          <w:sz w:val="24"/>
        </w:rPr>
        <w:t>:</w:t>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sz w:val="16"/>
      </w:rPr>
      <w:t>-</w:t>
    </w:r>
  </w:p>
  <w:p>
    <w:pPr>
      <w:pStyle w:val="Footer"/>
      <w:jc w:val="both"/>
      <w:rPr/>
    </w:pPr>
    <w:r>
      <w:rPr>
        <w:rStyle w:val="PageNumber"/>
        <w:sz w:val="16"/>
      </w:rPr>
      <w:t>Contingencyagmt2mhc.doc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800" w:hanging="1080"/>
      </w:pPr>
      <w:rPr>
        <w:b/>
      </w:rPr>
    </w:lvl>
  </w:abstractNum>
  <w:abstractNum w:abstractNumId="3">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jc w:val="both"/>
      <w:outlineLvl w:val="1"/>
    </w:pPr>
    <w:rPr>
      <w:b/>
      <w:sz w:val="24"/>
    </w:rPr>
  </w:style>
  <w:style w:type="paragraph" w:styleId="Heading3">
    <w:name w:val="heading 3"/>
    <w:basedOn w:val="Normal"/>
    <w:next w:val="Normal"/>
    <w:qFormat/>
    <w:pPr>
      <w:keepNext w:val="true"/>
      <w:numPr>
        <w:ilvl w:val="2"/>
        <w:numId w:val="1"/>
      </w:numPr>
      <w:tabs>
        <w:tab w:val="left" w:pos="720" w:leader="none"/>
        <w:tab w:val="left" w:pos="4320" w:leader="none"/>
        <w:tab w:val="left" w:pos="4770" w:leader="none"/>
      </w:tabs>
      <w:jc w:val="both"/>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character" w:styleId="WW8Num1z0">
    <w:name w:val="WW8Num1z0"/>
    <w:qFormat/>
    <w:rPr>
      <w:b/>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4"/>
    </w:rPr>
  </w:style>
  <w:style w:type="paragraph" w:styleId="BodyText">
    <w:name w:val="Body Text"/>
    <w:basedOn w:val="Normal"/>
    <w:pPr>
      <w:tabs>
        <w:tab w:val="left" w:pos="-720" w:leader="none"/>
        <w:tab w:val="left" w:pos="0" w:leader="none"/>
        <w:tab w:val="left" w:pos="720" w:leader="none"/>
      </w:tabs>
      <w:suppressAutoHyphens w:val="true"/>
      <w:jc w:val="both"/>
    </w:pPr>
    <w:rPr>
      <w:spacing w:val="-3"/>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2000-03-07T17:34:00Z</dcterms:created>
  <dc:creator>J. Ewing Walker, Jr.</dc:creator>
  <dc:description/>
  <dc:language>en-CA</dc:language>
  <cp:lastModifiedBy>Margo P. Terrell</cp:lastModifiedBy>
  <cp:lastPrinted>2000-03-01T08:59:00Z</cp:lastPrinted>
  <dcterms:modified xsi:type="dcterms:W3CDTF">2000-03-09T13:34:00Z</dcterms:modified>
  <cp:revision>3</cp:revision>
  <dc:subject/>
  <dc:title>AGREEMENT FOR CONTINGENCY SERVICES</dc:title>
</cp:coreProperties>
</file>