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numPr>
          <w:ilvl w:val="0"/>
          <w:numId w:val="0"/>
        </w:numPr>
        <w:spacing w:lineRule="exact" w:line="370"/>
        <w:jc w:val="center"/>
        <w:outlineLvl w:val="0"/>
        <w:rPr>
          <w:b/>
        </w:rPr>
      </w:pPr>
      <w:r>
        <w:rPr>
          <w:b/>
        </w:rPr>
        <w:t>MEMORANDUM</w:t>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both"/>
        <w:rPr>
          <w:b/>
        </w:rPr>
      </w:pPr>
      <w:r>
        <w:rPr>
          <w:b/>
        </w:rPr>
        <w:t>I.  -</w:t>
        <w:tab/>
        <w:t>INTRODUCTION</w:t>
      </w:r>
    </w:p>
    <w:p>
      <w:pPr>
        <w:pStyle w:val="Normal"/>
        <w:widowControl w:val="false"/>
        <w:spacing w:lineRule="exact" w:line="370"/>
        <w:jc w:val="both"/>
        <w:rPr/>
      </w:pPr>
      <w:r>
        <w:rPr/>
      </w:r>
    </w:p>
    <w:p>
      <w:pPr>
        <w:pStyle w:val="Normal"/>
        <w:widowControl w:val="false"/>
        <w:spacing w:lineRule="exact" w:line="370"/>
        <w:jc w:val="both"/>
        <w:rPr/>
      </w:pPr>
      <w:r>
        <w:rPr/>
        <w:tab/>
        <w:t>1.   -</w:t>
        <w:tab/>
        <w:t>This memorandum was prepared at the request of Enron North America Corp., and briefly examines the characterization of a consumer relationship between Enron Comercializadora de Energia Ltda. (“Enron”) and different counterparties on trade agreements (“agreements”) of energy and other commodities on the internet.</w:t>
      </w:r>
    </w:p>
    <w:p>
      <w:pPr>
        <w:pStyle w:val="Normal"/>
        <w:widowControl w:val="false"/>
        <w:spacing w:lineRule="exact" w:line="370"/>
        <w:jc w:val="both"/>
        <w:rPr/>
      </w:pPr>
      <w:r>
        <w:rPr/>
      </w:r>
    </w:p>
    <w:p>
      <w:pPr>
        <w:pStyle w:val="Normal"/>
        <w:widowControl w:val="false"/>
        <w:spacing w:lineRule="exact" w:line="370"/>
        <w:jc w:val="both"/>
        <w:rPr/>
      </w:pPr>
      <w:r>
        <w:rPr/>
        <w:tab/>
        <w:t>2.   -</w:t>
        <w:tab/>
        <w:t>We understand that the matters in discussion are:</w:t>
      </w:r>
    </w:p>
    <w:p>
      <w:pPr>
        <w:pStyle w:val="Normal"/>
        <w:widowControl w:val="false"/>
        <w:spacing w:lineRule="exact" w:line="370"/>
        <w:jc w:val="both"/>
        <w:rPr/>
      </w:pPr>
      <w:r>
        <w:rPr/>
      </w:r>
    </w:p>
    <w:p>
      <w:pPr>
        <w:pStyle w:val="BodyText"/>
        <w:spacing w:lineRule="exact" w:line="370"/>
        <w:rPr/>
      </w:pPr>
      <w:r>
        <w:rPr/>
        <w:tab/>
        <w:tab/>
        <w:t>(i)</w:t>
        <w:tab/>
        <w:t>whether the agreements are viewed, under Brazilian legislation, as a consumer relationship;</w:t>
      </w:r>
    </w:p>
    <w:p>
      <w:pPr>
        <w:pStyle w:val="Normal"/>
        <w:widowControl w:val="false"/>
        <w:spacing w:lineRule="exact" w:line="370"/>
        <w:jc w:val="both"/>
        <w:rPr/>
      </w:pPr>
      <w:r>
        <w:rPr/>
      </w:r>
    </w:p>
    <w:p>
      <w:pPr>
        <w:pStyle w:val="BodyText"/>
        <w:spacing w:lineRule="exact" w:line="370"/>
        <w:rPr/>
      </w:pPr>
      <w:r>
        <w:rPr/>
        <w:tab/>
        <w:tab/>
        <w:t>(ii)</w:t>
        <w:tab/>
        <w:t>what kind of law would be applied to such agreements and what would be the consequences of the characterization of consumer relationships.</w:t>
      </w:r>
    </w:p>
    <w:p>
      <w:pPr>
        <w:pStyle w:val="Normal"/>
        <w:widowControl w:val="false"/>
        <w:spacing w:lineRule="exact" w:line="370"/>
        <w:jc w:val="both"/>
        <w:rPr/>
      </w:pPr>
      <w:r>
        <w:rPr/>
      </w:r>
    </w:p>
    <w:p>
      <w:pPr>
        <w:pStyle w:val="Normal"/>
        <w:widowControl w:val="false"/>
        <w:spacing w:lineRule="exact" w:line="370"/>
        <w:jc w:val="both"/>
        <w:rPr/>
      </w:pPr>
      <w:r>
        <w:rPr/>
        <w:tab/>
        <w:t>3.   -</w:t>
        <w:tab/>
        <w:t>Application of the Consumer law in agreements in Brazil is based on the legal definition of consumer and the concept of supplier. Therefore, we will generally comment on those aspects.</w:t>
      </w:r>
    </w:p>
    <w:p>
      <w:pPr>
        <w:pStyle w:val="Normal"/>
        <w:widowControl w:val="false"/>
        <w:spacing w:lineRule="exact" w:line="370"/>
        <w:jc w:val="both"/>
        <w:rPr/>
      </w:pPr>
      <w:r>
        <w:rPr/>
      </w:r>
    </w:p>
    <w:p>
      <w:pPr>
        <w:pStyle w:val="Normal"/>
        <w:widowControl w:val="false"/>
        <w:numPr>
          <w:ilvl w:val="0"/>
          <w:numId w:val="0"/>
        </w:numPr>
        <w:spacing w:lineRule="exact" w:line="370"/>
        <w:ind w:hanging="720" w:start="720" w:end="0"/>
        <w:jc w:val="both"/>
        <w:outlineLvl w:val="0"/>
        <w:rPr>
          <w:b/>
        </w:rPr>
      </w:pPr>
      <w:r>
        <w:rPr>
          <w:b/>
        </w:rPr>
        <w:t>II.  -</w:t>
        <w:tab/>
        <w:t>DEFINITION OF CONSUMER RELATIONSHIP - THE CONCEPT OF SUPPPLIER AND CONSUMER</w:t>
      </w:r>
    </w:p>
    <w:p>
      <w:pPr>
        <w:pStyle w:val="Normal"/>
        <w:widowControl w:val="false"/>
        <w:spacing w:lineRule="exact" w:line="370"/>
        <w:jc w:val="both"/>
        <w:rPr>
          <w:b/>
        </w:rPr>
      </w:pPr>
      <w:r>
        <w:rPr>
          <w:b/>
        </w:rPr>
      </w:r>
    </w:p>
    <w:p>
      <w:pPr>
        <w:pStyle w:val="Normal"/>
        <w:widowControl w:val="false"/>
        <w:spacing w:lineRule="exact" w:line="370"/>
        <w:jc w:val="both"/>
        <w:rPr/>
      </w:pPr>
      <w:r>
        <w:rPr/>
        <w:tab/>
        <w:t>4.   -</w:t>
        <w:tab/>
        <w:t xml:space="preserve">Consumer relationship is regulated in Brazil by Law No. 8078 of September 11, 1990, also known as the Consumer Protection Code. According to its Article 3, </w:t>
      </w:r>
      <w:r>
        <w:rPr>
          <w:i/>
        </w:rPr>
        <w:t xml:space="preserve">consumer relationship </w:t>
      </w:r>
      <w:r>
        <w:rPr/>
        <w:t>comprises those activities related to production, transformation, assembly, devising, construction, import, export, distribution or marketing of products and the performance of services, including those of a banking, financial, credit and insurance (other than labor) nature, notwithstanding its rendering by public or private entities. In other words, all activities involving the production and trading of goods and services on the market for further acquisition and use by the community as a whole fall within the scope of such law.</w:t>
      </w:r>
    </w:p>
    <w:p>
      <w:pPr>
        <w:pStyle w:val="Normal"/>
        <w:widowControl w:val="false"/>
        <w:spacing w:lineRule="exact" w:line="370"/>
        <w:jc w:val="both"/>
        <w:rPr/>
      </w:pPr>
      <w:r>
        <w:rPr/>
      </w:r>
    </w:p>
    <w:p>
      <w:pPr>
        <w:pStyle w:val="Normal"/>
        <w:widowControl w:val="false"/>
        <w:spacing w:lineRule="exact" w:line="370"/>
        <w:jc w:val="both"/>
        <w:rPr/>
      </w:pPr>
      <w:r>
        <w:rPr/>
        <w:tab/>
        <w:t>5.   -</w:t>
        <w:tab/>
        <w:t>It is important to mention that pursuant to article 3 of the Consumer Protection Code, “supplier is any individual or legal entity, either public or private, Brazilian or foreign, and any entities without legal identity, which develop activities related to manufacturing, assembly, devising, construction, transformation, import, export, distribution or marketing of products, or which provide services.”</w:t>
      </w:r>
    </w:p>
    <w:p>
      <w:pPr>
        <w:pStyle w:val="Normal"/>
        <w:widowControl w:val="false"/>
        <w:spacing w:lineRule="exact" w:line="370"/>
        <w:jc w:val="both"/>
        <w:rPr/>
      </w:pPr>
      <w:r>
        <w:rPr/>
      </w:r>
    </w:p>
    <w:p>
      <w:pPr>
        <w:pStyle w:val="Normal"/>
        <w:widowControl w:val="false"/>
        <w:spacing w:lineRule="exact" w:line="370"/>
        <w:jc w:val="both"/>
        <w:rPr/>
      </w:pPr>
      <w:r>
        <w:rPr/>
        <w:tab/>
        <w:t>6.   -</w:t>
        <w:tab/>
        <w:t>Article 12 of the Consumer Protection Code clearly explains and lists the species of the genus “supplier”. Suppliers may be grouped under three different classes, namely: “(1) actual supplier (manufacturer, producer, builder); (2) apparent supplier (holder of the name, trademark or sign placed on the product); and (3) presumed supplier (importer or merchant)”</w:t>
      </w:r>
      <w:r>
        <w:rPr>
          <w:rStyle w:val="FootnoteCharacters"/>
          <w:rStyle w:val="FootnoteReference"/>
        </w:rPr>
        <w:footnoteReference w:id="2"/>
      </w:r>
      <w:r>
        <w:rPr/>
        <w:t xml:space="preserve">. </w:t>
      </w:r>
    </w:p>
    <w:p>
      <w:pPr>
        <w:pStyle w:val="Normal"/>
        <w:widowControl w:val="false"/>
        <w:spacing w:lineRule="exact" w:line="370"/>
        <w:jc w:val="both"/>
        <w:rPr/>
      </w:pPr>
      <w:r>
        <w:rPr/>
      </w:r>
    </w:p>
    <w:p>
      <w:pPr>
        <w:pStyle w:val="Normal"/>
        <w:widowControl w:val="false"/>
        <w:spacing w:lineRule="exact" w:line="370"/>
        <w:ind w:firstLine="720" w:end="0"/>
        <w:jc w:val="both"/>
        <w:rPr/>
      </w:pPr>
      <w:r>
        <w:rPr/>
        <w:t>7.   -</w:t>
        <w:tab/>
        <w:t>In this case we will focus on the actual supplier. Actual supplier is “any individual or legal entity that participates in the development and devising of a finished product or a part thereof, including raw materials.”</w:t>
      </w:r>
      <w:r>
        <w:rPr>
          <w:rStyle w:val="FootnoteCharacters"/>
          <w:rStyle w:val="FootnoteReference"/>
        </w:rPr>
        <w:footnoteReference w:id="3"/>
      </w:r>
    </w:p>
    <w:p>
      <w:pPr>
        <w:pStyle w:val="Normal"/>
        <w:widowControl w:val="false"/>
        <w:spacing w:lineRule="exact" w:line="370"/>
        <w:ind w:firstLine="720" w:end="0"/>
        <w:jc w:val="both"/>
        <w:rPr/>
      </w:pPr>
      <w:r>
        <w:rPr/>
      </w:r>
    </w:p>
    <w:p>
      <w:pPr>
        <w:pStyle w:val="BodyTextIndent"/>
        <w:widowControl w:val="false"/>
        <w:spacing w:lineRule="exact" w:line="370"/>
        <w:rPr>
          <w:lang w:eastAsia="en-CA"/>
        </w:rPr>
      </w:pPr>
      <w:r>
        <w:rPr>
          <w:lang w:eastAsia="en-CA"/>
        </w:rPr>
        <w:t>8.   -</w:t>
        <w:tab/>
        <w:t>Enron, upon the implementation of the system on the internet, may be considered a supplier based on the Consumer Protection Code when providing service of trade to the counterparties and/or selling the products (energy) in cases that the counterparty may be considered a consumer.</w:t>
      </w:r>
    </w:p>
    <w:p>
      <w:pPr>
        <w:pStyle w:val="Normal"/>
        <w:widowControl w:val="false"/>
        <w:spacing w:lineRule="exact" w:line="370"/>
        <w:jc w:val="both"/>
        <w:rPr>
          <w:lang w:eastAsia="en-CA"/>
        </w:rPr>
      </w:pPr>
      <w:r>
        <w:rPr>
          <w:lang w:eastAsia="en-CA"/>
        </w:rPr>
      </w:r>
    </w:p>
    <w:p>
      <w:pPr>
        <w:pStyle w:val="Normal"/>
        <w:widowControl w:val="false"/>
        <w:spacing w:lineRule="exact" w:line="370"/>
        <w:jc w:val="both"/>
        <w:rPr/>
      </w:pPr>
      <w:r>
        <w:rPr/>
        <w:tab/>
        <w:t>9.   -</w:t>
        <w:tab/>
        <w:t xml:space="preserve">Consumer, as established by the Consumer Protection Code, is any individual or legal entity acquiring or using a product or a service as an end-user. And also, according to the law, </w:t>
      </w:r>
      <w:r>
        <w:rPr>
          <w:lang w:eastAsia="pt-BR"/>
        </w:rPr>
        <w:t>a group of persons--even if unidentifiable--that has intervened consumer relations shall be held equivalent to a consumer.</w:t>
      </w:r>
    </w:p>
    <w:p>
      <w:pPr>
        <w:pStyle w:val="Normal"/>
        <w:widowControl w:val="false"/>
        <w:spacing w:lineRule="exact" w:line="370"/>
        <w:jc w:val="both"/>
        <w:rPr>
          <w:lang w:eastAsia="pt-BR"/>
        </w:rPr>
      </w:pPr>
      <w:r>
        <w:rPr>
          <w:lang w:eastAsia="pt-BR"/>
        </w:rPr>
      </w:r>
    </w:p>
    <w:p>
      <w:pPr>
        <w:pStyle w:val="Normal"/>
        <w:widowControl w:val="false"/>
        <w:spacing w:lineRule="exact" w:line="370"/>
        <w:jc w:val="both"/>
        <w:rPr/>
      </w:pPr>
      <w:r>
        <w:rPr/>
        <w:tab/>
        <w:t>10.  -</w:t>
        <w:tab/>
        <w:t>Thus, the consumer relationship covered by the Consumer Protection Code is necessarily composed of the end-purchasers and -users (persons in an individual or collective manner, and legal entities), on the one part, and the providers of goods or services for consumption purposes, on the other.</w:t>
      </w:r>
    </w:p>
    <w:p>
      <w:pPr>
        <w:pStyle w:val="Normal"/>
        <w:widowControl w:val="false"/>
        <w:spacing w:lineRule="exact" w:line="370"/>
        <w:jc w:val="both"/>
        <w:rPr/>
      </w:pPr>
      <w:r>
        <w:rPr/>
      </w:r>
    </w:p>
    <w:p>
      <w:pPr>
        <w:pStyle w:val="Normal"/>
        <w:widowControl w:val="false"/>
        <w:spacing w:lineRule="exact" w:line="370"/>
        <w:jc w:val="both"/>
        <w:rPr/>
      </w:pPr>
      <w:r>
        <w:rPr/>
        <w:tab/>
        <w:t>11.  -</w:t>
        <w:tab/>
        <w:t xml:space="preserve">Also, in order to characterize a consumer, it is currently used the argument of the consumer’s weaker position </w:t>
      </w:r>
      <w:r>
        <w:rPr>
          <w:i/>
        </w:rPr>
        <w:t>vis a vis</w:t>
      </w:r>
      <w:r>
        <w:rPr/>
        <w:t xml:space="preserve"> the other contracting party. Although, consumer is often the weaker party, the legal concept of consumer is not necessarily based on its status, but on its situation as an end-user. Nevertheless, it is worth mentioning that the weaker position of the counterparty has been a strong argument to characterize a party as a consumer according to the Consumer Protection Code.</w:t>
      </w:r>
    </w:p>
    <w:p>
      <w:pPr>
        <w:pStyle w:val="Normal"/>
        <w:widowControl w:val="false"/>
        <w:spacing w:lineRule="exact" w:line="370"/>
        <w:jc w:val="both"/>
        <w:rPr/>
      </w:pPr>
      <w:r>
        <w:rPr/>
      </w:r>
    </w:p>
    <w:p>
      <w:pPr>
        <w:pStyle w:val="Normal"/>
        <w:widowControl w:val="false"/>
        <w:spacing w:lineRule="exact" w:line="370"/>
        <w:jc w:val="both"/>
        <w:rPr/>
      </w:pPr>
      <w:r>
        <w:rPr/>
        <w:tab/>
        <w:t>12.  -</w:t>
        <w:tab/>
        <w:t>Finally, relative weakness is not typified by the party’s economic power but rather by the level of information available to such party and the possibility of this party’s appropriately defending its interests. Recognition of the weaker status only targets use of the defense mechanisms created under Consumer Protection Code (such as the inversion of the burden of proof). If a consumer in a weaker economic position than that of the supplier has appropriate means to defend its interests, such consumer should not be considered the weaker party.</w:t>
      </w:r>
    </w:p>
    <w:p>
      <w:pPr>
        <w:pStyle w:val="Normal"/>
        <w:widowControl w:val="false"/>
        <w:spacing w:lineRule="exact" w:line="370"/>
        <w:jc w:val="both"/>
        <w:rPr/>
      </w:pPr>
      <w:r>
        <w:rPr/>
      </w:r>
    </w:p>
    <w:p>
      <w:pPr>
        <w:pStyle w:val="Normal"/>
        <w:widowControl w:val="false"/>
        <w:spacing w:lineRule="exact" w:line="370"/>
        <w:jc w:val="both"/>
        <w:rPr/>
      </w:pPr>
      <w:r>
        <w:rPr/>
        <w:tab/>
        <w:t>13.  -</w:t>
        <w:tab/>
        <w:t xml:space="preserve">Enron plans to introduce on the Internet its trading and selling system. At a first stage, the system would focus on power dealers or distributors as counterparties. At a later stage, Enron plans to develop the system to companies and further on to individuals or group of individuals. </w:t>
      </w:r>
    </w:p>
    <w:p>
      <w:pPr>
        <w:pStyle w:val="Normal"/>
        <w:widowControl w:val="false"/>
        <w:spacing w:lineRule="exact" w:line="370"/>
        <w:jc w:val="both"/>
        <w:rPr/>
      </w:pPr>
      <w:r>
        <w:rPr/>
      </w:r>
    </w:p>
    <w:p>
      <w:pPr>
        <w:pStyle w:val="Normal"/>
        <w:widowControl w:val="false"/>
        <w:spacing w:lineRule="exact" w:line="370"/>
        <w:ind w:firstLine="720" w:end="0"/>
        <w:jc w:val="both"/>
        <w:rPr/>
      </w:pPr>
      <w:r>
        <w:rPr/>
        <w:t>14.  -</w:t>
        <w:tab/>
        <w:t>Our analysis on the existence of consumer relationship can be divided, consequently, in three different scenarios:</w:t>
      </w:r>
    </w:p>
    <w:p>
      <w:pPr>
        <w:pStyle w:val="Normal"/>
        <w:widowControl w:val="false"/>
        <w:spacing w:lineRule="exact" w:line="370"/>
        <w:jc w:val="both"/>
        <w:rPr/>
      </w:pPr>
      <w:r>
        <w:rPr/>
      </w:r>
    </w:p>
    <w:p>
      <w:pPr>
        <w:pStyle w:val="Normal"/>
        <w:widowControl w:val="false"/>
        <w:spacing w:lineRule="exact" w:line="370"/>
        <w:ind w:firstLine="709" w:start="709" w:end="0"/>
        <w:jc w:val="both"/>
        <w:rPr/>
      </w:pPr>
      <w:r>
        <w:rPr/>
        <w:t>(1)</w:t>
        <w:tab/>
        <w:t>Enron / dealers or distributors;</w:t>
      </w:r>
    </w:p>
    <w:p>
      <w:pPr>
        <w:pStyle w:val="Normal"/>
        <w:widowControl w:val="false"/>
        <w:spacing w:lineRule="exact" w:line="370"/>
        <w:ind w:firstLine="709" w:start="709" w:end="0"/>
        <w:jc w:val="both"/>
        <w:rPr/>
      </w:pPr>
      <w:r>
        <w:rPr/>
        <w:t>(2)</w:t>
        <w:tab/>
        <w:t>Enron / companies;</w:t>
      </w:r>
    </w:p>
    <w:p>
      <w:pPr>
        <w:pStyle w:val="Normal"/>
        <w:widowControl w:val="false"/>
        <w:spacing w:lineRule="exact" w:line="370"/>
        <w:ind w:firstLine="709" w:start="709" w:end="0"/>
        <w:jc w:val="both"/>
        <w:rPr/>
      </w:pPr>
      <w:r>
        <w:rPr/>
        <w:t>(3)</w:t>
        <w:tab/>
        <w:t>Enron / individuals or group of individuals.</w:t>
      </w:r>
    </w:p>
    <w:p>
      <w:pPr>
        <w:pStyle w:val="Normal"/>
        <w:widowControl w:val="false"/>
        <w:spacing w:lineRule="exact" w:line="370"/>
        <w:jc w:val="both"/>
        <w:rPr/>
      </w:pPr>
      <w:r>
        <w:rPr/>
      </w:r>
    </w:p>
    <w:p>
      <w:pPr>
        <w:pStyle w:val="Normal"/>
        <w:widowControl w:val="false"/>
        <w:spacing w:lineRule="exact" w:line="370"/>
        <w:jc w:val="both"/>
        <w:rPr/>
      </w:pPr>
      <w:r>
        <w:rPr/>
        <w:tab/>
        <w:t>15.  -</w:t>
        <w:tab/>
        <w:t>In the first scenario, we can easily affirm that the elements for characterization of a consumer relationship are not present. The concessionaires are not considered end-users. Also, Enron is not in a dominant position and the counterparty, in that case, is not in a position to require protection of the Consumer Protection Code. This type of relationship is, therefore, governed by civil and commercial law.</w:t>
      </w:r>
    </w:p>
    <w:p>
      <w:pPr>
        <w:pStyle w:val="Normal"/>
        <w:widowControl w:val="false"/>
        <w:spacing w:lineRule="exact" w:line="370"/>
        <w:jc w:val="both"/>
        <w:rPr/>
      </w:pPr>
      <w:r>
        <w:rPr/>
      </w:r>
    </w:p>
    <w:p>
      <w:pPr>
        <w:pStyle w:val="BodyText"/>
        <w:spacing w:lineRule="exact" w:line="370"/>
        <w:rPr/>
      </w:pPr>
      <w:r>
        <w:rPr/>
        <w:tab/>
        <w:t>16.  -</w:t>
        <w:tab/>
        <w:t>Regarding the third scenario, in which the counterparties are individuals or group of individuals, there is no doubt that the provisions set forth by the Consumer Protection Code will be applied to the agreements. First of all, Enron will supply energy or service to a counterparty who will acquire the products for its own use (clearly as an end-user). Secondly, the counterparties are individuals or group of individuals who may be easily viewed, comparing to Enron’s status, as the weaker party in need of the protection of the Consumer Protection Code.</w:t>
      </w:r>
    </w:p>
    <w:p>
      <w:pPr>
        <w:pStyle w:val="BodyText"/>
        <w:spacing w:lineRule="exact" w:line="370"/>
        <w:rPr/>
      </w:pPr>
      <w:r>
        <w:rPr/>
      </w:r>
    </w:p>
    <w:p>
      <w:pPr>
        <w:pStyle w:val="BodyText"/>
        <w:spacing w:lineRule="exact" w:line="370"/>
        <w:rPr/>
      </w:pPr>
      <w:r>
        <w:rPr/>
        <w:tab/>
        <w:t>17.  -</w:t>
        <w:tab/>
        <w:t>The main difficulty is, however, the analysis of the second scenario and the precise characterization or not of a consumer relationship.</w:t>
      </w:r>
    </w:p>
    <w:p>
      <w:pPr>
        <w:pStyle w:val="BodyText"/>
        <w:spacing w:lineRule="exact" w:line="370"/>
        <w:rPr/>
      </w:pPr>
      <w:r>
        <w:rPr/>
      </w:r>
    </w:p>
    <w:p>
      <w:pPr>
        <w:pStyle w:val="BodyText"/>
        <w:spacing w:lineRule="exact" w:line="370"/>
        <w:rPr/>
      </w:pPr>
      <w:r>
        <w:rPr/>
        <w:tab/>
        <w:t>18.  -</w:t>
        <w:tab/>
        <w:t>Most of the legal writing on the matter defend the position that as the Consumer Protection Code establishes exceptional rules, the end-user of the product can only be defined as the person that uses the product or service for its own consumption, not as a part of the production process or business activity. This means that the consumer relationship will not exist when the merchandise or service acquired by the company is used in the production process. To the contrary, this consumer relationship only exists when the merchandise or service is not an integral part of the production process or business activity.</w:t>
      </w:r>
    </w:p>
    <w:p>
      <w:pPr>
        <w:pStyle w:val="Normal"/>
        <w:widowControl w:val="false"/>
        <w:spacing w:lineRule="exact" w:line="370"/>
        <w:jc w:val="both"/>
        <w:rPr/>
      </w:pPr>
      <w:r>
        <w:rPr/>
      </w:r>
    </w:p>
    <w:p>
      <w:pPr>
        <w:pStyle w:val="Normal"/>
        <w:widowControl w:val="false"/>
        <w:spacing w:lineRule="exact" w:line="370"/>
        <w:jc w:val="both"/>
        <w:rPr/>
      </w:pPr>
      <w:r>
        <w:rPr/>
        <w:tab/>
        <w:t>19.  -</w:t>
        <w:tab/>
        <w:t>Therefore, a company would not be considered a consumer when it purchases energy for manufacture of its products. The difference lies in whether the purpose of the merchandise or the service is considered to be a means or an end for the customer. In this case a merchandise or service is channeled to the production process, targeting a profitable result.</w:t>
      </w:r>
    </w:p>
    <w:p>
      <w:pPr>
        <w:pStyle w:val="Normal"/>
        <w:widowControl w:val="false"/>
        <w:spacing w:lineRule="exact" w:line="370"/>
        <w:jc w:val="both"/>
        <w:rPr/>
      </w:pPr>
      <w:r>
        <w:rPr/>
      </w:r>
    </w:p>
    <w:p>
      <w:pPr>
        <w:pStyle w:val="Normal"/>
        <w:widowControl w:val="false"/>
        <w:spacing w:lineRule="exact" w:line="370"/>
        <w:jc w:val="both"/>
        <w:rPr/>
      </w:pPr>
      <w:r>
        <w:rPr/>
        <w:tab/>
        <w:t>20.  -</w:t>
        <w:tab/>
        <w:t xml:space="preserve">Unfortunately, this does not mean that Enron will not be at any risk of seeing the agreements entered into with companies discussed under the rules of the Consumer Protection Code. Although there is no consensus in past court rulings on that specific matter, we do believe there are sufficient grounds to defend the position that in those type of agreements there are no consumer relationships. </w:t>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both"/>
        <w:rPr>
          <w:b/>
        </w:rPr>
      </w:pPr>
      <w:r>
        <w:rPr>
          <w:b/>
        </w:rPr>
        <w:t>III. -</w:t>
        <w:tab/>
        <w:t xml:space="preserve">CONSUMER RELATIONSHIP – BASIC ASPECTS </w:t>
      </w:r>
    </w:p>
    <w:p>
      <w:pPr>
        <w:pStyle w:val="Normal"/>
        <w:widowControl w:val="false"/>
        <w:spacing w:lineRule="exact" w:line="370"/>
        <w:jc w:val="both"/>
        <w:rPr/>
      </w:pPr>
      <w:r>
        <w:rPr/>
      </w:r>
    </w:p>
    <w:p>
      <w:pPr>
        <w:pStyle w:val="Normal"/>
        <w:widowControl w:val="false"/>
        <w:spacing w:lineRule="exact" w:line="370"/>
        <w:ind w:firstLine="720" w:end="0"/>
        <w:jc w:val="both"/>
        <w:rPr/>
      </w:pPr>
      <w:r>
        <w:rPr/>
        <w:t>21.  -</w:t>
        <w:tab/>
        <w:t>Once there is a risk of a consumer relationship being characterized between Enron and the counterparty, some of the aspects and consequences of that relation should be discussed. Please find below the main matters related to the consumer relation set forth by the Brazilian law and Courts that may be applied.</w:t>
      </w:r>
    </w:p>
    <w:p>
      <w:pPr>
        <w:pStyle w:val="Normal"/>
        <w:widowControl w:val="false"/>
        <w:spacing w:lineRule="exact" w:line="370"/>
        <w:jc w:val="both"/>
        <w:rPr/>
      </w:pPr>
      <w:r>
        <w:rPr/>
      </w:r>
    </w:p>
    <w:p>
      <w:pPr>
        <w:pStyle w:val="Normal"/>
        <w:widowControl w:val="false"/>
        <w:numPr>
          <w:ilvl w:val="0"/>
          <w:numId w:val="0"/>
        </w:numPr>
        <w:spacing w:lineRule="exact" w:line="370"/>
        <w:jc w:val="both"/>
        <w:outlineLvl w:val="0"/>
        <w:rPr>
          <w:b/>
        </w:rPr>
      </w:pPr>
      <w:r>
        <w:rPr>
          <w:b/>
        </w:rPr>
        <w:tab/>
        <w:t>(i)</w:t>
        <w:tab/>
        <w:t>Choice of Jurisdiction</w:t>
      </w:r>
    </w:p>
    <w:p>
      <w:pPr>
        <w:pStyle w:val="Normal"/>
        <w:widowControl w:val="false"/>
        <w:spacing w:lineRule="exact" w:line="370"/>
        <w:jc w:val="both"/>
        <w:rPr>
          <w:b/>
        </w:rPr>
      </w:pPr>
      <w:r>
        <w:rPr>
          <w:b/>
        </w:rPr>
      </w:r>
    </w:p>
    <w:p>
      <w:pPr>
        <w:pStyle w:val="BodyTextIndent"/>
        <w:widowControl w:val="false"/>
        <w:spacing w:lineRule="exact" w:line="370"/>
        <w:rPr/>
      </w:pPr>
      <w:r>
        <w:rPr/>
        <w:t>22.  -</w:t>
        <w:tab/>
        <w:t>Brazilian courts have been accepting the parties’ choice of governing law in contracts that set out a specific foreign court to hear any and all disputes arising therefrom, specially in the case of international contracts. However, that election of the foreign court can be rejected by a Brazilian court if one of the parties is Brazilian and if any of the parties decides to initiate a legal action in Brazil. In this case, the Brazilian court finds itself competent to hear and rule on the case based on the constitutional principle that the law shall not exclude any injury or threat to a right from the consideration of the Judicial Branch (Brazilian Federal Constitution, article 5, item XXXV).</w:t>
      </w:r>
    </w:p>
    <w:p>
      <w:pPr>
        <w:pStyle w:val="Normal"/>
        <w:widowControl w:val="false"/>
        <w:spacing w:lineRule="exact" w:line="370"/>
        <w:jc w:val="both"/>
        <w:rPr/>
      </w:pPr>
      <w:r>
        <w:rPr/>
      </w:r>
    </w:p>
    <w:p>
      <w:pPr>
        <w:pStyle w:val="Normal"/>
        <w:widowControl w:val="false"/>
        <w:spacing w:lineRule="exact" w:line="370"/>
        <w:jc w:val="both"/>
        <w:rPr/>
      </w:pPr>
      <w:r>
        <w:rPr/>
        <w:tab/>
        <w:t>23.  -</w:t>
        <w:tab/>
        <w:t>With respect to an action filed as a consequence of a consumer relationship, the choice of jurisdiction inserted in the agreement would have no validity in Brazil. In this case, the Consumer Protection Code grants the consumers the right to filed the claim in the jurisdiction of their domicile, as established in Article 6, item VIII of the Consumer Protection Code. The Consumer Protection Code system guarantees the consumer, as a basic right, the simple rendering of its defense in court. The election of a judiciary district other than that of the consumer’s residence may make his/her access to the courts difficult, which is the reason why the clause could conceivably be deemed abusive.</w:t>
      </w:r>
    </w:p>
    <w:p>
      <w:pPr>
        <w:pStyle w:val="Normal"/>
        <w:widowControl w:val="false"/>
        <w:spacing w:lineRule="exact" w:line="370"/>
        <w:jc w:val="both"/>
        <w:rPr/>
      </w:pPr>
      <w:r>
        <w:rPr/>
      </w:r>
    </w:p>
    <w:p>
      <w:pPr>
        <w:pStyle w:val="Normal"/>
        <w:widowControl w:val="false"/>
        <w:numPr>
          <w:ilvl w:val="0"/>
          <w:numId w:val="0"/>
        </w:numPr>
        <w:spacing w:lineRule="exact" w:line="370"/>
        <w:jc w:val="both"/>
        <w:outlineLvl w:val="0"/>
        <w:rPr>
          <w:b/>
        </w:rPr>
      </w:pPr>
      <w:r>
        <w:rPr>
          <w:b/>
        </w:rPr>
        <w:tab/>
        <w:t>(ii)</w:t>
        <w:tab/>
        <w:t>Choice of Law</w:t>
      </w:r>
    </w:p>
    <w:p>
      <w:pPr>
        <w:pStyle w:val="Normal"/>
        <w:widowControl w:val="false"/>
        <w:spacing w:lineRule="exact" w:line="370"/>
        <w:jc w:val="both"/>
        <w:rPr>
          <w:b/>
        </w:rPr>
      </w:pPr>
      <w:r>
        <w:rPr>
          <w:b/>
        </w:rPr>
      </w:r>
    </w:p>
    <w:p>
      <w:pPr>
        <w:pStyle w:val="Recuodecorpodetexto3"/>
        <w:spacing w:lineRule="exact" w:line="370"/>
        <w:rPr/>
      </w:pPr>
      <w:r>
        <w:rPr/>
        <w:t>24.  -</w:t>
        <w:tab/>
        <w:t>As a general rule, under Brazilian law, contracting parties are in principle free to choose and establish a foreign governing law to be applied, considering their object and the parties’ needs and interests, provided that such rules do not contravene Brazilian sovereignty, public policy and good morals. This principle is applied with more reason in international agreements.</w:t>
      </w:r>
    </w:p>
    <w:p>
      <w:pPr>
        <w:pStyle w:val="Normal"/>
        <w:widowControl w:val="false"/>
        <w:spacing w:lineRule="exact" w:line="370"/>
        <w:jc w:val="both"/>
        <w:rPr/>
      </w:pPr>
      <w:r>
        <w:rPr/>
      </w:r>
    </w:p>
    <w:p>
      <w:pPr>
        <w:pStyle w:val="Normal"/>
        <w:widowControl w:val="false"/>
        <w:spacing w:lineRule="exact" w:line="370"/>
        <w:jc w:val="both"/>
        <w:rPr/>
      </w:pPr>
      <w:r>
        <w:rPr/>
        <w:tab/>
        <w:t>25.  -</w:t>
        <w:tab/>
        <w:t>In a consumer relationship, however, it is quite difficult to have an action decided based on a foreign law established by the parties in the agreement. Although the Brazilian legislation authorizes the application of an international law in order to have agreements judicially interpreted, the Brazilian consumer legislation would prevail over any other law or provision established by the parties because its viewed as a matter of public policy as well as a constitutional right.</w:t>
      </w:r>
    </w:p>
    <w:p>
      <w:pPr>
        <w:pStyle w:val="Normal"/>
        <w:widowControl w:val="false"/>
        <w:spacing w:lineRule="exact" w:line="370"/>
        <w:jc w:val="both"/>
        <w:rPr>
          <w:b/>
        </w:rPr>
      </w:pPr>
      <w:r>
        <w:rPr>
          <w:b/>
        </w:rPr>
      </w:r>
    </w:p>
    <w:p>
      <w:pPr>
        <w:pStyle w:val="Normal"/>
        <w:widowControl w:val="false"/>
        <w:numPr>
          <w:ilvl w:val="0"/>
          <w:numId w:val="0"/>
        </w:numPr>
        <w:spacing w:lineRule="exact" w:line="370"/>
        <w:jc w:val="both"/>
        <w:outlineLvl w:val="0"/>
        <w:rPr>
          <w:b/>
        </w:rPr>
      </w:pPr>
      <w:r>
        <w:rPr>
          <w:b/>
        </w:rPr>
        <w:tab/>
        <w:t>(iii)</w:t>
        <w:tab/>
        <w:t xml:space="preserve">Choice of Language </w:t>
      </w:r>
    </w:p>
    <w:p>
      <w:pPr>
        <w:pStyle w:val="Normal"/>
        <w:widowControl w:val="false"/>
        <w:spacing w:lineRule="exact" w:line="370"/>
        <w:jc w:val="both"/>
        <w:rPr>
          <w:b/>
        </w:rPr>
      </w:pPr>
      <w:r>
        <w:rPr>
          <w:b/>
        </w:rPr>
      </w:r>
    </w:p>
    <w:p>
      <w:pPr>
        <w:pStyle w:val="Normal"/>
        <w:widowControl w:val="false"/>
        <w:spacing w:lineRule="exact" w:line="370"/>
        <w:jc w:val="both"/>
        <w:rPr/>
      </w:pPr>
      <w:r>
        <w:rPr/>
        <w:tab/>
        <w:t>26.  -</w:t>
        <w:tab/>
        <w:t xml:space="preserve">The Consumer Protection Code establishes that the offering of products or services must be written in the Portuguese language. Also, according to article 32 of the Consumer Protection Code, the offer and presentation of products or services shall ensure correct </w:t>
      </w:r>
      <w:r>
        <w:rPr>
          <w:lang w:eastAsia="pt-BR"/>
        </w:rPr>
        <w:t>clear, accurate and easily read information in Portuguese as to product or service characteristics, quality, quantity, composition, price, warranty, validity terms and origin, among other data, as to any risks they may cause to consumers' health and safety.</w:t>
      </w:r>
    </w:p>
    <w:p>
      <w:pPr>
        <w:pStyle w:val="Normal"/>
        <w:widowControl w:val="false"/>
        <w:spacing w:lineRule="exact" w:line="370"/>
        <w:jc w:val="both"/>
        <w:rPr>
          <w:b/>
        </w:rPr>
      </w:pPr>
      <w:r>
        <w:rPr>
          <w:b/>
        </w:rPr>
      </w:r>
    </w:p>
    <w:p>
      <w:pPr>
        <w:pStyle w:val="Normal"/>
        <w:widowControl w:val="false"/>
        <w:numPr>
          <w:ilvl w:val="0"/>
          <w:numId w:val="0"/>
        </w:numPr>
        <w:spacing w:lineRule="exact" w:line="370"/>
        <w:jc w:val="both"/>
        <w:outlineLvl w:val="0"/>
        <w:rPr>
          <w:b/>
        </w:rPr>
      </w:pPr>
      <w:r>
        <w:rPr>
          <w:b/>
        </w:rPr>
        <w:tab/>
        <w:t>(iv)</w:t>
        <w:tab/>
        <w:t>Adhesion Contract</w:t>
      </w:r>
    </w:p>
    <w:p>
      <w:pPr>
        <w:pStyle w:val="Normal"/>
        <w:widowControl w:val="false"/>
        <w:spacing w:lineRule="exact" w:line="370"/>
        <w:jc w:val="both"/>
        <w:rPr>
          <w:b/>
        </w:rPr>
      </w:pPr>
      <w:r>
        <w:rPr>
          <w:b/>
        </w:rPr>
      </w:r>
    </w:p>
    <w:p>
      <w:pPr>
        <w:pStyle w:val="Normal"/>
        <w:widowControl w:val="false"/>
        <w:spacing w:lineRule="exact" w:line="370"/>
        <w:jc w:val="both"/>
        <w:rPr/>
      </w:pPr>
      <w:r>
        <w:rPr/>
        <w:tab/>
        <w:t>27.  -</w:t>
        <w:tab/>
      </w:r>
      <w:r>
        <w:rPr>
          <w:lang w:eastAsia="pt-BR"/>
        </w:rPr>
        <w:t xml:space="preserve">An </w:t>
      </w:r>
      <w:r>
        <w:rPr>
          <w:b/>
          <w:lang w:eastAsia="pt-BR"/>
        </w:rPr>
        <w:t>“</w:t>
      </w:r>
      <w:r>
        <w:rPr>
          <w:lang w:eastAsia="pt-BR"/>
        </w:rPr>
        <w:t>adhesion contract</w:t>
      </w:r>
      <w:r>
        <w:rPr>
          <w:b/>
          <w:lang w:eastAsia="pt-BR"/>
        </w:rPr>
        <w:t>”</w:t>
      </w:r>
      <w:r>
        <w:rPr>
          <w:lang w:eastAsia="pt-BR"/>
        </w:rPr>
        <w:t xml:space="preserve"> is one where the clauses have been approved by the competent authorities or established unilaterally by the product or service supplier, without the consumer's being able to bargain or substantially modify the contents thereof. We understand that, the three contracts of the transaction, the Password Application (“PA”), the Electronic Trading Agreement (“ETA”) and the General Terms and Conditions (“GTC’s”) will not be negotiated with and altered by the counterparty prior to the signature. Therefore, the agreements may be considered adhesion contract.</w:t>
      </w:r>
    </w:p>
    <w:p>
      <w:pPr>
        <w:pStyle w:val="Normal"/>
        <w:widowControl w:val="false"/>
        <w:spacing w:lineRule="exact" w:line="370"/>
        <w:jc w:val="both"/>
        <w:rPr>
          <w:lang w:eastAsia="pt-BR"/>
        </w:rPr>
      </w:pPr>
      <w:r>
        <w:rPr>
          <w:lang w:eastAsia="pt-BR"/>
        </w:rPr>
      </w:r>
    </w:p>
    <w:p>
      <w:pPr>
        <w:pStyle w:val="BodyTextIndent"/>
        <w:widowControl w:val="false"/>
        <w:spacing w:lineRule="exact" w:line="370"/>
        <w:rPr>
          <w:lang w:eastAsia="en-CA"/>
        </w:rPr>
      </w:pPr>
      <w:r>
        <w:rPr>
          <w:lang w:eastAsia="en-CA"/>
        </w:rPr>
        <w:t>28.  -</w:t>
        <w:tab/>
        <w:t xml:space="preserve">Unfortunately, most Brazilian courts have viewed adhesion contracts in consumer relations reluctantly since these instruments are prepared unilaterally, thus impeding the consumer from discussing their terms and conditions.  In order to avoid abuse on the part of the supplier, legal writing and case law, supported by the Consumer Protection Code, have taken steps towards interpreting adhesion contracts in a manner that is more favorable for the consumer. </w:t>
      </w:r>
    </w:p>
    <w:p>
      <w:pPr>
        <w:pStyle w:val="Normal"/>
        <w:widowControl w:val="false"/>
        <w:spacing w:lineRule="exact" w:line="370"/>
        <w:jc w:val="both"/>
        <w:rPr>
          <w:lang w:eastAsia="pt-BR"/>
        </w:rPr>
      </w:pPr>
      <w:r>
        <w:rPr>
          <w:lang w:eastAsia="pt-BR"/>
        </w:rPr>
      </w:r>
    </w:p>
    <w:p>
      <w:pPr>
        <w:pStyle w:val="Normal"/>
        <w:widowControl w:val="false"/>
        <w:spacing w:lineRule="exact" w:line="370"/>
        <w:jc w:val="both"/>
        <w:rPr>
          <w:lang w:eastAsia="pt-BR"/>
        </w:rPr>
      </w:pPr>
      <w:r>
        <w:rPr>
          <w:lang w:eastAsia="pt-BR"/>
        </w:rPr>
        <w:tab/>
        <w:t>29.  -</w:t>
        <w:tab/>
        <w:t xml:space="preserve">It is important to mention that the Consumer Protection Code does not prohibit that type of settlement, but it establishes specific requirements (article 54) and directions that should be met in order to prevent abuse by the supplier. </w:t>
      </w:r>
      <w:r>
        <w:rPr/>
        <w:t>It is essential that the contract be “clearly worded in large and legible type in order to ease consumer comprehension” (paragraph 3) and “ wording of the clauses that implies any limit on consumer rights shall stand out, permitting immediate and easy comprehension” (paragraph 4). We also suggest that the consumer place his/her initials alongside the clauses related to limitation of rights.</w:t>
      </w:r>
    </w:p>
    <w:p>
      <w:pPr>
        <w:pStyle w:val="Normal"/>
        <w:widowControl w:val="false"/>
        <w:spacing w:lineRule="exact" w:line="370"/>
        <w:jc w:val="both"/>
        <w:rPr>
          <w:lang w:eastAsia="pt-BR"/>
        </w:rPr>
      </w:pPr>
      <w:r>
        <w:rPr>
          <w:lang w:eastAsia="pt-BR"/>
        </w:rPr>
      </w:r>
    </w:p>
    <w:p>
      <w:pPr>
        <w:pStyle w:val="Normal"/>
        <w:widowControl w:val="false"/>
        <w:numPr>
          <w:ilvl w:val="0"/>
          <w:numId w:val="0"/>
        </w:numPr>
        <w:spacing w:lineRule="exact" w:line="370"/>
        <w:jc w:val="both"/>
        <w:outlineLvl w:val="0"/>
        <w:rPr>
          <w:b/>
        </w:rPr>
      </w:pPr>
      <w:r>
        <w:rPr>
          <w:b/>
        </w:rPr>
        <w:tab/>
        <w:t>(v)</w:t>
        <w:tab/>
        <w:t>Deceptive Clauses</w:t>
      </w:r>
    </w:p>
    <w:p>
      <w:pPr>
        <w:pStyle w:val="Normal"/>
        <w:widowControl w:val="false"/>
        <w:spacing w:lineRule="exact" w:line="370"/>
        <w:jc w:val="both"/>
        <w:rPr>
          <w:b/>
        </w:rPr>
      </w:pPr>
      <w:r>
        <w:rPr>
          <w:b/>
        </w:rPr>
      </w:r>
    </w:p>
    <w:p>
      <w:pPr>
        <w:pStyle w:val="Normal"/>
        <w:widowControl w:val="false"/>
        <w:spacing w:lineRule="exact" w:line="370"/>
        <w:jc w:val="both"/>
        <w:rPr/>
      </w:pPr>
      <w:r>
        <w:rPr/>
        <w:tab/>
        <w:t>30.  -</w:t>
        <w:tab/>
        <w:t>The Consumer Protection Code (article 51) states that a</w:t>
      </w:r>
      <w:r>
        <w:rPr>
          <w:lang w:eastAsia="pt-BR"/>
        </w:rPr>
        <w:t>ny contractual clauses may be characterized as abusive and considered null and void by operation of law when relating to the supply of products and services that:</w:t>
      </w:r>
    </w:p>
    <w:p>
      <w:pPr>
        <w:pStyle w:val="Normal"/>
        <w:widowControl w:val="false"/>
        <w:spacing w:lineRule="exact" w:line="370"/>
        <w:jc w:val="both"/>
        <w:rPr>
          <w:lang w:eastAsia="pt-BR"/>
        </w:rPr>
      </w:pPr>
      <w:r>
        <w:rPr>
          <w:lang w:eastAsia="pt-BR"/>
        </w:rPr>
      </w:r>
    </w:p>
    <w:p>
      <w:pPr>
        <w:pStyle w:val="Recuodecorpodetexto2"/>
        <w:spacing w:lineRule="exact" w:line="370"/>
        <w:ind w:start="0" w:end="0"/>
        <w:rPr/>
      </w:pPr>
      <w:r>
        <w:rPr>
          <w:b/>
          <w:sz w:val="26"/>
        </w:rPr>
        <w:tab/>
        <w:tab/>
      </w:r>
      <w:r>
        <w:rPr>
          <w:sz w:val="26"/>
        </w:rPr>
        <w:t>(a)</w:t>
        <w:tab/>
        <w:t>prevent, exonerate or reduce the supplier's liability for defects of any kind whatsoever in the products and services, or that entail a waiver or disposal of rights (according to the law, in a consumer relationship between the supplier and a corporate consumer, indemnification may be limited in justifiable situations);</w:t>
      </w:r>
    </w:p>
    <w:p>
      <w:pPr>
        <w:pStyle w:val="Normal"/>
        <w:widowControl w:val="false"/>
        <w:spacing w:lineRule="exact" w:line="370"/>
        <w:jc w:val="both"/>
        <w:rPr>
          <w:sz w:val="26"/>
          <w:lang w:eastAsia="pt-BR"/>
        </w:rPr>
      </w:pPr>
      <w:r>
        <w:rPr>
          <w:sz w:val="26"/>
          <w:lang w:eastAsia="pt-BR"/>
        </w:rPr>
      </w:r>
    </w:p>
    <w:p>
      <w:pPr>
        <w:pStyle w:val="Normal"/>
        <w:widowControl w:val="false"/>
        <w:spacing w:lineRule="exact" w:line="370"/>
        <w:ind w:firstLine="1418" w:end="0"/>
        <w:jc w:val="both"/>
        <w:rPr>
          <w:lang w:eastAsia="pt-BR"/>
        </w:rPr>
      </w:pPr>
      <w:r>
        <w:rPr>
          <w:lang w:eastAsia="pt-BR"/>
        </w:rPr>
        <w:t>(b)</w:t>
        <w:tab/>
        <w:t>deprive the consumer of the option of receiving a refund of what was already paid, in the events provided for herein;</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(c)</w:t>
        <w:tab/>
        <w:t>transfer liability to third parties;</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(d)</w:t>
        <w:tab/>
        <w:t>establish obligations considered inequitable or abusive that place the consumer at an unreasonable disadvantage, or that are incompatible with good faith or equitable practices;</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(e)</w:t>
        <w:tab/>
        <w:t>reverse the burden of proof to the detriment of the consumer;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(f)</w:t>
        <w:tab/>
        <w:t>provide for compulsory use of arbitration;</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(g)</w:t>
        <w:tab/>
        <w:t>require a representative to conclude or realize another legal transaction by the consumer;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(h)</w:t>
        <w:tab/>
        <w:t>leave the supplier with the option of whether to conclude the contract, while obligating the consumer;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(i)</w:t>
        <w:tab/>
        <w:t>permit the supplier to directly or indirectly vary the price in a unilateral manner;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(j)</w:t>
        <w:tab/>
        <w:t>allow the supplier to cancel the contract unilaterally without conferring the same right on the consumer;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(k)</w:t>
        <w:tab/>
        <w:t>obligate the consumer to reimburse any charges for collection of what is owed, without the same obligation for the supplier;</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(l)</w:t>
        <w:tab/>
        <w:t>authorize the supplier to unilaterally modify the contents or quality of the contract, after conclusion thereof;</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(m)</w:t>
        <w:tab/>
        <w:t>infringe or allow for violation of environmental regulations;</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(n)</w:t>
        <w:tab/>
        <w:t>contravene the consumer protection system; and</w:t>
      </w:r>
    </w:p>
    <w:p>
      <w:pPr>
        <w:pStyle w:val="Normal"/>
        <w:widowControl w:val="false"/>
        <w:spacing w:lineRule="exact" w:line="370"/>
        <w:ind w:firstLine="1418" w:end="0"/>
        <w:jc w:val="both"/>
        <w:rPr>
          <w:lang w:eastAsia="pt-BR"/>
        </w:rPr>
      </w:pPr>
      <w:r>
        <w:rPr>
          <w:lang w:eastAsia="pt-BR"/>
        </w:rPr>
      </w:r>
    </w:p>
    <w:p>
      <w:pPr>
        <w:pStyle w:val="Normal"/>
        <w:widowControl w:val="false"/>
        <w:spacing w:lineRule="exact" w:line="370"/>
        <w:ind w:firstLine="1418" w:end="0"/>
        <w:jc w:val="both"/>
        <w:rPr>
          <w:lang w:eastAsia="pt-BR"/>
        </w:rPr>
      </w:pPr>
      <w:r>
        <w:rPr>
          <w:lang w:eastAsia="pt-BR"/>
        </w:rPr>
        <w:t>(o)</w:t>
        <w:tab/>
        <w:t>allow waiver of rights to indemnification for needed improvements.</w:t>
      </w:r>
    </w:p>
    <w:p>
      <w:pPr>
        <w:pStyle w:val="Normal"/>
        <w:widowControl w:val="false"/>
        <w:spacing w:lineRule="exact" w:line="370"/>
        <w:jc w:val="both"/>
        <w:rPr>
          <w:lang w:eastAsia="pt-BR"/>
        </w:rPr>
      </w:pPr>
      <w:r>
        <w:rPr>
          <w:lang w:eastAsia="pt-BR"/>
        </w:rPr>
      </w:r>
    </w:p>
    <w:p>
      <w:pPr>
        <w:pStyle w:val="Normal"/>
        <w:widowControl w:val="false"/>
        <w:spacing w:lineRule="exact" w:line="370"/>
        <w:jc w:val="both"/>
        <w:rPr/>
      </w:pPr>
      <w:r>
        <w:rPr/>
        <w:tab/>
        <w:t>31.  -</w:t>
        <w:tab/>
        <w:t>In order to avoid any claim of abusive clause in the agreements executed between Enron and the consumer counterparties, we believe that the agreements (PA, ETA and GTC) would have to be revised.</w:t>
      </w:r>
    </w:p>
    <w:p>
      <w:pPr>
        <w:pStyle w:val="Normal"/>
        <w:widowControl w:val="false"/>
        <w:spacing w:lineRule="exact" w:line="370"/>
        <w:jc w:val="both"/>
        <w:rPr>
          <w:b/>
        </w:rPr>
      </w:pPr>
      <w:r>
        <w:rPr>
          <w:b/>
        </w:rPr>
      </w:r>
    </w:p>
    <w:p>
      <w:pPr>
        <w:pStyle w:val="Normal"/>
        <w:widowControl w:val="false"/>
        <w:spacing w:lineRule="exact" w:line="370"/>
        <w:jc w:val="both"/>
        <w:rPr>
          <w:b/>
        </w:rPr>
      </w:pPr>
      <w:r>
        <w:rPr>
          <w:b/>
        </w:rPr>
      </w:r>
    </w:p>
    <w:p>
      <w:pPr>
        <w:pStyle w:val="Normal"/>
        <w:widowControl w:val="false"/>
        <w:numPr>
          <w:ilvl w:val="0"/>
          <w:numId w:val="0"/>
        </w:numPr>
        <w:spacing w:lineRule="exact" w:line="370"/>
        <w:jc w:val="both"/>
        <w:outlineLvl w:val="0"/>
        <w:rPr>
          <w:b/>
        </w:rPr>
      </w:pPr>
      <w:r>
        <w:rPr>
          <w:b/>
        </w:rPr>
        <w:tab/>
        <w:t>(vi)</w:t>
        <w:tab/>
        <w:t>Advertising Laws</w:t>
      </w:r>
    </w:p>
    <w:p>
      <w:pPr>
        <w:pStyle w:val="Normal"/>
        <w:widowControl w:val="false"/>
        <w:spacing w:lineRule="exact" w:line="370"/>
        <w:jc w:val="both"/>
        <w:rPr>
          <w:b/>
        </w:rPr>
      </w:pPr>
      <w:r>
        <w:rPr>
          <w:b/>
        </w:rPr>
      </w:r>
    </w:p>
    <w:p>
      <w:pPr>
        <w:pStyle w:val="Normal"/>
        <w:widowControl w:val="false"/>
        <w:spacing w:lineRule="exact" w:line="370"/>
        <w:ind w:firstLine="720" w:end="0"/>
        <w:jc w:val="both"/>
        <w:rPr/>
      </w:pPr>
      <w:r>
        <w:rPr/>
        <w:t>32.  -</w:t>
        <w:tab/>
        <w:t>In accordance with the Consumer Protection Code, advertising must be conveyed in such a way as to enable consumers to readily identify it as such. It is important to mention that, under the Consumer Protection Code, misleading or deceptive advertising is prohibit and may subject the advertising company to penalties.</w:t>
      </w:r>
    </w:p>
    <w:p>
      <w:pPr>
        <w:pStyle w:val="Normal"/>
        <w:widowControl w:val="false"/>
        <w:spacing w:lineRule="exact" w:line="370"/>
        <w:jc w:val="both"/>
        <w:rPr>
          <w:b/>
        </w:rPr>
      </w:pPr>
      <w:r>
        <w:rPr>
          <w:b/>
        </w:rPr>
      </w:r>
    </w:p>
    <w:p>
      <w:pPr>
        <w:pStyle w:val="Normal"/>
        <w:widowControl w:val="false"/>
        <w:numPr>
          <w:ilvl w:val="0"/>
          <w:numId w:val="0"/>
        </w:numPr>
        <w:spacing w:lineRule="exact" w:line="370"/>
        <w:jc w:val="both"/>
        <w:outlineLvl w:val="0"/>
        <w:rPr>
          <w:b/>
        </w:rPr>
      </w:pPr>
      <w:r>
        <w:rPr>
          <w:b/>
        </w:rPr>
        <w:tab/>
        <w:t>(vii)</w:t>
        <w:tab/>
        <w:t>Burden of Proof</w:t>
      </w:r>
    </w:p>
    <w:p>
      <w:pPr>
        <w:pStyle w:val="Normal"/>
        <w:widowControl w:val="false"/>
        <w:spacing w:lineRule="exact" w:line="370"/>
        <w:jc w:val="both"/>
        <w:rPr>
          <w:b/>
        </w:rPr>
      </w:pPr>
      <w:r>
        <w:rPr>
          <w:b/>
        </w:rPr>
      </w:r>
    </w:p>
    <w:p>
      <w:pPr>
        <w:pStyle w:val="Normal"/>
        <w:widowControl w:val="false"/>
        <w:spacing w:lineRule="exact" w:line="370"/>
        <w:ind w:firstLine="720" w:end="0"/>
        <w:jc w:val="both"/>
        <w:rPr/>
      </w:pPr>
      <w:r>
        <w:rPr/>
        <w:t>33.  -</w:t>
        <w:tab/>
        <w:t xml:space="preserve">The burden of proof may be shifted to the supplier, at the court’s discretion, when certain elements are present. Whenever technical aspects are involved, the courts may order the suppliers in lieu of the consumers to submit proper evidence (article 6, VIII). </w:t>
      </w:r>
    </w:p>
    <w:p>
      <w:pPr>
        <w:pStyle w:val="Normal"/>
        <w:widowControl w:val="false"/>
        <w:spacing w:lineRule="exact" w:line="370"/>
        <w:ind w:firstLine="720" w:end="0"/>
        <w:jc w:val="both"/>
        <w:rPr/>
      </w:pPr>
      <w:r>
        <w:rPr/>
      </w:r>
    </w:p>
    <w:p>
      <w:pPr>
        <w:pStyle w:val="Normal"/>
        <w:widowControl w:val="false"/>
        <w:spacing w:lineRule="exact" w:line="370"/>
        <w:ind w:firstLine="720" w:end="0"/>
        <w:jc w:val="both"/>
        <w:rPr/>
      </w:pPr>
      <w:r>
        <w:rPr/>
        <w:t>34.  -</w:t>
        <w:tab/>
        <w:t xml:space="preserve">The shifting of the burden of proof would most likely occur </w:t>
      </w:r>
      <w:r>
        <w:rPr>
          <w:lang w:val="en-GB"/>
        </w:rPr>
        <w:t>with regard to electronic signature. Recent cases suggest that the court, should the matter be brought to court, would impose the reversal of the burden of proof. In the case of Enron’s agreement, it would be Enron’s responsibility to show, for example, that the digital signature was used by an unauthorised person and that this was the result of the counterparty’s fault.</w:t>
      </w:r>
    </w:p>
    <w:p>
      <w:pPr>
        <w:pStyle w:val="Normal"/>
        <w:widowControl w:val="false"/>
        <w:spacing w:lineRule="exact" w:line="370"/>
        <w:jc w:val="both"/>
        <w:rPr>
          <w:b/>
          <w:lang w:val="en-GB"/>
        </w:rPr>
      </w:pPr>
      <w:r>
        <w:rPr>
          <w:b/>
          <w:lang w:val="en-GB"/>
        </w:rPr>
      </w:r>
    </w:p>
    <w:p>
      <w:pPr>
        <w:pStyle w:val="Normal"/>
        <w:widowControl w:val="false"/>
        <w:numPr>
          <w:ilvl w:val="0"/>
          <w:numId w:val="0"/>
        </w:numPr>
        <w:spacing w:lineRule="exact" w:line="370"/>
        <w:jc w:val="both"/>
        <w:outlineLvl w:val="0"/>
        <w:rPr>
          <w:b/>
        </w:rPr>
      </w:pPr>
      <w:r>
        <w:rPr>
          <w:b/>
        </w:rPr>
        <w:tab/>
        <w:t>(viii)</w:t>
        <w:tab/>
        <w:t>Brazilian Courts and consumer protection</w:t>
      </w:r>
    </w:p>
    <w:p>
      <w:pPr>
        <w:pStyle w:val="Normal"/>
        <w:widowControl w:val="false"/>
        <w:spacing w:lineRule="exact" w:line="370"/>
        <w:jc w:val="both"/>
        <w:rPr>
          <w:b/>
        </w:rPr>
      </w:pPr>
      <w:r>
        <w:rPr>
          <w:b/>
        </w:rPr>
      </w:r>
    </w:p>
    <w:p>
      <w:pPr>
        <w:pStyle w:val="Normal"/>
        <w:widowControl w:val="false"/>
        <w:spacing w:lineRule="exact" w:line="370"/>
        <w:jc w:val="both"/>
        <w:rPr/>
      </w:pPr>
      <w:r>
        <w:rPr/>
        <w:tab/>
        <w:t>35.  -</w:t>
        <w:tab/>
        <w:t>Consumer rights may be defended in court on an individual or collective basis. Class actions may be filed in defense of collective interests; in such case, the Public Prosecutor Office, the Federal Government, States, Municipalities, government agencies and instrumentalities, and associations legally established for at least one year are authorized to act on behalf of consumers under the law.</w:t>
      </w:r>
    </w:p>
    <w:p>
      <w:pPr>
        <w:pStyle w:val="Normal"/>
        <w:widowControl w:val="false"/>
        <w:spacing w:lineRule="exact" w:line="370"/>
        <w:jc w:val="both"/>
        <w:rPr/>
      </w:pPr>
      <w:r>
        <w:rPr/>
      </w:r>
    </w:p>
    <w:p>
      <w:pPr>
        <w:pStyle w:val="Corpodetexto2"/>
        <w:spacing w:lineRule="exact" w:line="370"/>
        <w:ind w:hanging="1440" w:start="1440" w:end="0"/>
        <w:rPr/>
      </w:pPr>
      <w:r>
        <w:rPr/>
        <w:tab/>
        <w:t>(ix)</w:t>
        <w:tab/>
        <w:t>Liability for the product in the civil sphere under the Consumer Protection Code</w:t>
      </w:r>
    </w:p>
    <w:p>
      <w:pPr>
        <w:pStyle w:val="Corpodetexto2"/>
        <w:spacing w:lineRule="exact" w:line="370"/>
        <w:rPr/>
      </w:pPr>
      <w:r>
        <w:rPr/>
      </w:r>
    </w:p>
    <w:p>
      <w:pPr>
        <w:pStyle w:val="Normal"/>
        <w:widowControl w:val="false"/>
        <w:spacing w:lineRule="exact" w:line="370"/>
        <w:jc w:val="both"/>
        <w:rPr/>
      </w:pPr>
      <w:r>
        <w:rPr/>
        <w:tab/>
        <w:t>36.  -</w:t>
        <w:tab/>
        <w:t>The Code defines two different types of liability to which product suppliers are subject, namely: liability for the product itself and liability for any defect in  the product.</w:t>
      </w:r>
    </w:p>
    <w:p>
      <w:pPr>
        <w:pStyle w:val="Normal"/>
        <w:widowControl w:val="false"/>
        <w:spacing w:lineRule="exact" w:line="370"/>
        <w:jc w:val="both"/>
        <w:rPr/>
      </w:pPr>
      <w:r>
        <w:rPr/>
      </w:r>
    </w:p>
    <w:p>
      <w:pPr>
        <w:pStyle w:val="Normal"/>
        <w:widowControl w:val="false"/>
        <w:spacing w:lineRule="exact" w:line="370"/>
        <w:jc w:val="both"/>
        <w:rPr/>
      </w:pPr>
      <w:r>
        <w:rPr/>
        <w:tab/>
        <w:t>37.  -</w:t>
        <w:tab/>
        <w:t>Liability for the product itself, which is set forth in articles 12 to 17 of the Code, is the type of liability that will be discussed here, and deals with any damages caused to end consumers of the products supplied by the supplier. This liability is related to the concept of consumption accident, and imposes on the product supplier the obligation to indemnify for “...any damages caused to consumers as a result of defects in the design, manufacture, construction, assembly, formulation, handling, packaging or wrapping of its products, as well as any damages caused by insufficient or improper information on their use and risks”(article 12 of the Code). Liability for the product itself is of a strict nature, that is, it is imposed regardless of fault on the part of the supplier. Consumers do not have to prove any negligence, imprudence or lack of skill of the supplier. It suffices to evidence the existence of damage, which must be redressed by the party linked to the supplier by a causal relation.</w:t>
      </w:r>
    </w:p>
    <w:p>
      <w:pPr>
        <w:pStyle w:val="Normal"/>
        <w:widowControl w:val="false"/>
        <w:spacing w:lineRule="exact" w:line="370"/>
        <w:jc w:val="both"/>
        <w:rPr/>
      </w:pPr>
      <w:r>
        <w:rPr/>
      </w:r>
    </w:p>
    <w:p>
      <w:pPr>
        <w:pStyle w:val="Normal"/>
        <w:widowControl w:val="false"/>
        <w:spacing w:lineRule="exact" w:line="370"/>
        <w:jc w:val="both"/>
        <w:rPr>
          <w:highlight w:val="cyan"/>
        </w:rPr>
      </w:pPr>
      <w:r>
        <w:rPr/>
        <w:tab/>
        <w:t>38.  -</w:t>
        <w:tab/>
        <w:t>The Code expressly prohibits the joinder of parties, restricting it to when the supplier has an insurance contract.</w:t>
      </w:r>
    </w:p>
    <w:p>
      <w:pPr>
        <w:pStyle w:val="Normal"/>
        <w:widowControl w:val="false"/>
        <w:spacing w:lineRule="exact" w:line="370"/>
        <w:jc w:val="both"/>
        <w:rPr>
          <w:highlight w:val="cyan"/>
        </w:rPr>
      </w:pPr>
      <w:r>
        <w:rPr>
          <w:highlight w:val="cyan"/>
        </w:rPr>
      </w:r>
    </w:p>
    <w:p>
      <w:pPr>
        <w:pStyle w:val="Normal"/>
        <w:widowControl w:val="false"/>
        <w:numPr>
          <w:ilvl w:val="0"/>
          <w:numId w:val="0"/>
        </w:numPr>
        <w:spacing w:lineRule="exact" w:line="370"/>
        <w:jc w:val="both"/>
        <w:outlineLvl w:val="0"/>
        <w:rPr>
          <w:b/>
        </w:rPr>
      </w:pPr>
      <w:r>
        <w:rPr>
          <w:b/>
        </w:rPr>
        <w:tab/>
        <w:t>(x)</w:t>
        <w:tab/>
        <w:t>Property and Moral Damages</w:t>
      </w:r>
    </w:p>
    <w:p>
      <w:pPr>
        <w:pStyle w:val="Normal"/>
        <w:widowControl w:val="false"/>
        <w:spacing w:lineRule="exact" w:line="370"/>
        <w:jc w:val="both"/>
        <w:rPr>
          <w:b/>
        </w:rPr>
      </w:pPr>
      <w:r>
        <w:rPr>
          <w:b/>
        </w:rPr>
      </w:r>
    </w:p>
    <w:p>
      <w:pPr>
        <w:pStyle w:val="Normal"/>
        <w:widowControl w:val="false"/>
        <w:spacing w:lineRule="exact" w:line="370"/>
        <w:jc w:val="both"/>
        <w:rPr/>
      </w:pPr>
      <w:r>
        <w:rPr>
          <w:b/>
        </w:rPr>
        <w:tab/>
      </w:r>
      <w:r>
        <w:rPr/>
        <w:t>39.  -</w:t>
        <w:tab/>
        <w:t>Material or property damages (those affecting the victim’s equity) as well as moral damages (with adverse effects on the victim’s individual or community morals and emotions) are eligible for indemnification. Hence, property and/or moral damages may be sought by an aggrieved party under the law, as the case may be.</w:t>
      </w:r>
    </w:p>
    <w:p>
      <w:pPr>
        <w:pStyle w:val="Normal"/>
        <w:widowControl w:val="false"/>
        <w:spacing w:lineRule="exact" w:line="370"/>
        <w:jc w:val="both"/>
        <w:rPr/>
      </w:pPr>
      <w:r>
        <w:rPr/>
      </w:r>
    </w:p>
    <w:p>
      <w:pPr>
        <w:pStyle w:val="Normal"/>
        <w:widowControl w:val="false"/>
        <w:spacing w:lineRule="exact" w:line="370"/>
        <w:jc w:val="both"/>
        <w:rPr/>
      </w:pPr>
      <w:r>
        <w:rPr/>
        <w:tab/>
        <w:t>40.  -</w:t>
        <w:tab/>
        <w:t xml:space="preserve">For reparation of property damages, a certain value is ascribed for recovery of the aggrieved party’s economic </w:t>
      </w:r>
      <w:r>
        <w:rPr>
          <w:i/>
        </w:rPr>
        <w:t>status quo ante</w:t>
      </w:r>
      <w:r>
        <w:rPr/>
        <w:t>, whereas reparation for moral damages seeks to solace the aggrieved party for the pain and suffering resulting from the damaging event. At the interested party’s request, the judge will establish the type and amount of redress (for pecuniary damages), in such a way as to impose on the damaging party a degree of sacrifice commensurate with the adverse effects caused to the victim. Unlike property damages, the redress for moral damages merely has a compensatory (rather than an indemnification) nature, covering the damages allegedly caused to the aggrieved party, his honor, feelings and other intangible values.</w:t>
      </w:r>
    </w:p>
    <w:p>
      <w:pPr>
        <w:pStyle w:val="Normal"/>
        <w:widowControl w:val="false"/>
        <w:spacing w:lineRule="exact" w:line="370"/>
        <w:jc w:val="both"/>
        <w:rPr/>
      </w:pPr>
      <w:r>
        <w:rPr/>
      </w:r>
    </w:p>
    <w:p>
      <w:pPr>
        <w:pStyle w:val="Normal"/>
        <w:widowControl w:val="false"/>
        <w:spacing w:lineRule="exact" w:line="370"/>
        <w:jc w:val="both"/>
        <w:rPr/>
      </w:pPr>
      <w:r>
        <w:rPr/>
        <w:tab/>
        <w:t>41.  -</w:t>
        <w:tab/>
        <w:t>It should be noted that, as from promulgation of the 1988 Constitution (article 5, V and X, which expressly provides for moral damages), and after enactment of the Code, our courts have increasingly acknowledged liability for moral damages. There is a great deal of controversy, however, as to the criteria for calculation of moral damages.</w:t>
      </w:r>
    </w:p>
    <w:p>
      <w:pPr>
        <w:pStyle w:val="Normal"/>
        <w:widowControl w:val="false"/>
        <w:spacing w:lineRule="exact" w:line="370"/>
        <w:jc w:val="both"/>
        <w:rPr/>
      </w:pPr>
      <w:r>
        <w:rPr/>
      </w:r>
    </w:p>
    <w:p>
      <w:pPr>
        <w:pStyle w:val="Normal"/>
        <w:widowControl w:val="false"/>
        <w:spacing w:lineRule="exact" w:line="370"/>
        <w:jc w:val="both"/>
        <w:rPr/>
      </w:pPr>
      <w:r>
        <w:rPr/>
        <w:tab/>
        <w:t>42.  -</w:t>
        <w:tab/>
        <w:t>It is important to mention that, although Brazilian courts are gradually adopting and establishing discouragement awards based on the punitive damages contemplated in the United States jurisprudence, this trend has been meeting with some opposition. Furthermore, calculation of these amounts in Brazil is far more objective, and always follows pre-established parameters.</w:t>
      </w:r>
    </w:p>
    <w:p>
      <w:pPr>
        <w:pStyle w:val="Normal"/>
        <w:widowControl w:val="false"/>
        <w:spacing w:lineRule="exact" w:line="370"/>
        <w:jc w:val="both"/>
        <w:rPr/>
      </w:pPr>
      <w:r>
        <w:rPr/>
      </w:r>
    </w:p>
    <w:p>
      <w:pPr>
        <w:pStyle w:val="Normal"/>
        <w:widowControl w:val="false"/>
        <w:spacing w:lineRule="exact" w:line="370"/>
        <w:jc w:val="both"/>
        <w:rPr>
          <w:b/>
        </w:rPr>
      </w:pPr>
      <w:r>
        <w:rPr>
          <w:b/>
        </w:rPr>
        <w:t>IV. -</w:t>
        <w:tab/>
        <w:t>CONCLUSION</w:t>
      </w:r>
    </w:p>
    <w:p>
      <w:pPr>
        <w:pStyle w:val="Normal"/>
        <w:widowControl w:val="false"/>
        <w:spacing w:lineRule="exact" w:line="370"/>
        <w:jc w:val="both"/>
        <w:rPr/>
      </w:pPr>
      <w:r>
        <w:rPr/>
      </w:r>
    </w:p>
    <w:p>
      <w:pPr>
        <w:pStyle w:val="BodyText"/>
        <w:spacing w:lineRule="exact" w:line="370"/>
        <w:rPr/>
      </w:pPr>
      <w:r>
        <w:rPr/>
        <w:tab/>
        <w:t>43.  -</w:t>
        <w:tab/>
        <w:t>In short, we may conclude that the Consumer Protection Code applies to the relationship between Enron and the end-users individual or group of individuals. Therefore, the Enron and the agreements will be subject to the strict consumer protection legislation. On the contrary, the Consumer Protection Code is not applied while the agreements are executed with power concessionaires, because no consumer relationship can be found.</w:t>
      </w:r>
    </w:p>
    <w:p>
      <w:pPr>
        <w:pStyle w:val="BodyText"/>
        <w:spacing w:lineRule="exact" w:line="370"/>
        <w:rPr/>
      </w:pPr>
      <w:r>
        <w:rPr/>
      </w:r>
    </w:p>
    <w:p>
      <w:pPr>
        <w:pStyle w:val="BodyText"/>
        <w:spacing w:lineRule="exact" w:line="370"/>
        <w:rPr/>
      </w:pPr>
      <w:r>
        <w:rPr/>
        <w:tab/>
        <w:t>44.  -</w:t>
        <w:tab/>
        <w:t>As regard to the second scenario mentioned above, it is likely that the agreements would not be considered consumer relationship in light of the Consumer Protection Code’s concept of consumer and end-use and -purchase requirement. It is worth mentioning, however, that the Brazilian courts are not yet settled on this matter.</w:t>
      </w:r>
    </w:p>
    <w:p>
      <w:pPr>
        <w:pStyle w:val="Normal"/>
        <w:widowControl w:val="false"/>
        <w:spacing w:lineRule="exact" w:line="370"/>
        <w:jc w:val="both"/>
        <w:rPr/>
      </w:pPr>
      <w:r>
        <w:rPr/>
      </w:r>
    </w:p>
    <w:p>
      <w:pPr>
        <w:pStyle w:val="Normal"/>
        <w:widowControl w:val="false"/>
        <w:spacing w:lineRule="exact" w:line="370"/>
        <w:jc w:val="both"/>
        <w:rPr/>
      </w:pPr>
      <w:r>
        <w:rPr/>
        <w:tab/>
        <w:t>45.  -</w:t>
        <w:tab/>
        <w:t>Whenever a consumer relationship is characterized, the strict rules of the Consumer Protection Code must be applied in order to provide validity to the agreements executed.</w:t>
      </w:r>
    </w:p>
    <w:p>
      <w:pPr>
        <w:pStyle w:val="Normal"/>
        <w:widowControl w:val="false"/>
        <w:spacing w:lineRule="exact" w:line="370"/>
        <w:jc w:val="both"/>
        <w:rPr/>
      </w:pPr>
      <w:r>
        <w:rPr/>
      </w:r>
    </w:p>
    <w:p>
      <w:pPr>
        <w:pStyle w:val="Normal"/>
        <w:widowControl w:val="false"/>
        <w:spacing w:lineRule="exact" w:line="370"/>
        <w:jc w:val="both"/>
        <w:rPr/>
      </w:pPr>
      <w:r>
        <w:rPr/>
        <w:tab/>
        <w:t>46.  -</w:t>
        <w:tab/>
        <w:t>These are the issues that must be reviewed should the Consumer Protection Code apply:</w:t>
      </w:r>
    </w:p>
    <w:p>
      <w:pPr>
        <w:pStyle w:val="Normal"/>
        <w:widowControl w:val="false"/>
        <w:spacing w:lineRule="exact" w:line="370"/>
        <w:jc w:val="both"/>
        <w:rPr/>
      </w:pPr>
      <w:r>
        <w:rPr/>
      </w:r>
    </w:p>
    <w:p>
      <w:pPr>
        <w:pStyle w:val="Normal"/>
        <w:widowControl w:val="false"/>
        <w:spacing w:lineRule="exact" w:line="370"/>
        <w:ind w:firstLine="1418" w:end="0"/>
        <w:jc w:val="both"/>
        <w:rPr/>
      </w:pPr>
      <w:r>
        <w:rPr/>
        <w:t>General contractual provisions</w:t>
      </w:r>
    </w:p>
    <w:p>
      <w:pPr>
        <w:pStyle w:val="Normal"/>
        <w:widowControl w:val="false"/>
        <w:spacing w:lineRule="exact" w:line="370"/>
        <w:ind w:firstLine="1418" w:end="0"/>
        <w:jc w:val="both"/>
        <w:rPr/>
      </w:pPr>
      <w:r>
        <w:rPr/>
        <w:t>Data protection</w:t>
      </w:r>
    </w:p>
    <w:p>
      <w:pPr>
        <w:pStyle w:val="Normal"/>
        <w:widowControl w:val="false"/>
        <w:spacing w:lineRule="exact" w:line="370"/>
        <w:ind w:firstLine="1418" w:end="0"/>
        <w:jc w:val="both"/>
        <w:rPr/>
      </w:pPr>
      <w:r>
        <w:rPr/>
        <w:t>Advertising</w:t>
      </w:r>
    </w:p>
    <w:p>
      <w:pPr>
        <w:pStyle w:val="Normal"/>
        <w:widowControl w:val="false"/>
        <w:spacing w:lineRule="exact" w:line="370"/>
        <w:ind w:firstLine="1418" w:end="0"/>
        <w:jc w:val="both"/>
        <w:rPr/>
      </w:pPr>
      <w:r>
        <w:rPr/>
        <w:t>Choice of liability</w:t>
      </w:r>
    </w:p>
    <w:p>
      <w:pPr>
        <w:pStyle w:val="Normal"/>
        <w:widowControl w:val="false"/>
        <w:spacing w:lineRule="exact" w:line="370"/>
        <w:ind w:firstLine="1418" w:end="0"/>
        <w:jc w:val="both"/>
        <w:rPr/>
      </w:pPr>
      <w:r>
        <w:rPr/>
        <w:t>Limitation of liability</w:t>
      </w:r>
    </w:p>
    <w:p>
      <w:pPr>
        <w:pStyle w:val="Normal"/>
        <w:widowControl w:val="false"/>
        <w:spacing w:lineRule="exact" w:line="370"/>
        <w:ind w:firstLine="1418" w:end="0"/>
        <w:jc w:val="both"/>
        <w:rPr/>
      </w:pPr>
      <w:r>
        <w:rPr/>
        <w:t xml:space="preserve">Choice of law </w:t>
      </w:r>
    </w:p>
    <w:p>
      <w:pPr>
        <w:pStyle w:val="Normal"/>
        <w:widowControl w:val="false"/>
        <w:spacing w:lineRule="exact" w:line="370"/>
        <w:ind w:firstLine="1418" w:end="0"/>
        <w:jc w:val="both"/>
        <w:rPr/>
      </w:pPr>
      <w:r>
        <w:rPr/>
        <w:t>Choice of forum</w:t>
      </w:r>
    </w:p>
    <w:p>
      <w:pPr>
        <w:pStyle w:val="Normal"/>
        <w:widowControl w:val="false"/>
        <w:spacing w:lineRule="exact" w:line="370"/>
        <w:jc w:val="both"/>
        <w:rPr/>
      </w:pPr>
      <w:r>
        <w:rPr/>
      </w:r>
    </w:p>
    <w:p>
      <w:pPr>
        <w:pStyle w:val="Normal"/>
        <w:widowControl w:val="false"/>
        <w:spacing w:lineRule="exact" w:line="370"/>
        <w:ind w:firstLine="720" w:end="0"/>
        <w:jc w:val="both"/>
        <w:rPr/>
      </w:pPr>
      <w:r>
        <w:rPr/>
        <w:t>47.  -</w:t>
        <w:tab/>
        <w:t>These are the comments we consider relevant to the matter. We remain at the disposal of Enron to provide any additional information it may require.</w:t>
      </w:r>
    </w:p>
    <w:p>
      <w:pPr>
        <w:pStyle w:val="Normal"/>
        <w:widowControl w:val="false"/>
        <w:spacing w:lineRule="exact" w:line="370"/>
        <w:jc w:val="both"/>
        <w:rPr/>
      </w:pPr>
      <w:r>
        <w:rPr/>
      </w:r>
    </w:p>
    <w:p>
      <w:pPr>
        <w:pStyle w:val="Normal"/>
        <w:widowControl w:val="false"/>
        <w:spacing w:lineRule="exact" w:line="370"/>
        <w:jc w:val="center"/>
        <w:rPr/>
      </w:pPr>
      <w:r>
        <w:rPr/>
        <w:tab/>
        <w:tab/>
        <w:tab/>
        <w:tab/>
        <w:tab/>
        <w:t>São Paulo, December 20, 2000</w:t>
      </w:r>
    </w:p>
    <w:p>
      <w:pPr>
        <w:pStyle w:val="Normal"/>
        <w:widowControl w:val="false"/>
        <w:spacing w:lineRule="exact" w:line="370"/>
        <w:jc w:val="both"/>
        <w:rPr/>
      </w:pPr>
      <w:r>
        <w:rPr/>
      </w:r>
    </w:p>
    <w:p>
      <w:pPr>
        <w:pStyle w:val="Normal"/>
        <w:widowControl w:val="false"/>
        <w:spacing w:lineRule="exact" w:line="370"/>
        <w:jc w:val="both"/>
        <w:rPr/>
      </w:pPr>
      <w:r>
        <w:rPr/>
      </w:r>
    </w:p>
    <w:p>
      <w:pPr>
        <w:pStyle w:val="Normal"/>
        <w:widowControl w:val="false"/>
        <w:spacing w:lineRule="exact" w:line="370"/>
        <w:jc w:val="center"/>
        <w:rPr>
          <w:b/>
        </w:rPr>
      </w:pPr>
      <w:r>
        <w:rPr>
          <w:b/>
        </w:rPr>
        <w:tab/>
        <w:tab/>
        <w:tab/>
        <w:tab/>
        <w:tab/>
        <w:t>Raphael de Cunto</w:t>
      </w:r>
    </w:p>
    <w:p>
      <w:pPr>
        <w:pStyle w:val="Normal"/>
        <w:widowControl w:val="false"/>
        <w:spacing w:lineRule="exact" w:line="370"/>
        <w:jc w:val="center"/>
        <w:rPr>
          <w:b/>
        </w:rPr>
      </w:pPr>
      <w:r>
        <w:rPr>
          <w:b/>
        </w:rPr>
      </w:r>
    </w:p>
    <w:p>
      <w:pPr>
        <w:pStyle w:val="Normal"/>
        <w:widowControl w:val="false"/>
        <w:spacing w:lineRule="exact" w:line="370"/>
        <w:jc w:val="center"/>
        <w:rPr>
          <w:b/>
        </w:rPr>
      </w:pPr>
      <w:r>
        <w:rPr>
          <w:b/>
        </w:rPr>
      </w:r>
    </w:p>
    <w:p>
      <w:pPr>
        <w:pStyle w:val="Heading2"/>
        <w:spacing w:lineRule="exact" w:line="370"/>
        <w:ind w:hanging="0" w:start="0"/>
        <w:rPr/>
      </w:pPr>
      <w:r>
        <w:rPr/>
        <w:tab/>
        <w:tab/>
        <w:tab/>
        <w:tab/>
        <w:tab/>
        <w:t>Ana Carolina Aguiar Beneti</w:t>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spacing w:lineRule="exact" w:line="370"/>
        <w:rPr/>
      </w:pPr>
      <w:r>
        <w:rPr/>
      </w:r>
    </w:p>
    <w:p>
      <w:pPr>
        <w:pStyle w:val="Normal"/>
        <w:rPr>
          <w:sz w:val="16"/>
        </w:rPr>
      </w:pPr>
      <w:r>
        <w:rPr>
          <w:sz w:val="16"/>
        </w:rPr>
        <w:t>bnt:lia</w:t>
      </w:r>
    </w:p>
    <w:p>
      <w:pPr>
        <w:pStyle w:val="Normal"/>
        <w:rPr>
          <w:sz w:val="16"/>
        </w:rPr>
      </w:pPr>
      <w:r>
        <w:rPr>
          <w:sz w:val="16"/>
        </w:rPr>
        <w:t>\1191\140921\mem\consumer</w:t>
      </w:r>
    </w:p>
    <w:sectPr>
      <w:headerReference w:type="default" r:id="rId2"/>
      <w:headerReference w:type="first" r:id="rId3"/>
      <w:footerReference w:type="default" r:id="rId4"/>
      <w:footerReference w:type="first" r:id="rId5"/>
      <w:footnotePr>
        <w:numFmt w:val="decimal"/>
      </w:footnotePr>
      <w:type w:val="nextPage"/>
      <w:pgSz w:w="11906" w:h="16838"/>
      <w:pgMar w:left="1757" w:right="850" w:gutter="0" w:header="1077" w:top="2721" w:footer="850" w:bottom="10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/mnt/main-storage/datasets/enron-docs/doc/consumer.doc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/mnt/main-storage/datasets/enron-docs/doc/consumer.doc</w:t>
    </w:r>
    <w:r>
      <w:rPr>
        <w:sz w:val="16"/>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tabs>
          <w:tab w:val="clear" w:pos="720"/>
          <w:tab w:val="left" w:pos="284" w:leader="none"/>
        </w:tabs>
        <w:ind w:hanging="284" w:start="284" w:end="0"/>
        <w:jc w:val="both"/>
        <w:rPr/>
      </w:pPr>
      <w:r>
        <w:rPr>
          <w:rStyle w:val="FootnoteCharacters"/>
        </w:rPr>
        <w:footnoteRef/>
      </w:r>
      <w:r>
        <w:rPr>
          <w:sz w:val="18"/>
        </w:rPr>
        <w:tab/>
        <w:t>Martins, James - Responsabilidade da empresa pelo fato do produto: os acidentes de consumo no Código de Proteção e Defesa do Consumidor - São Paulo - Edit. RT, 1993, page 98.</w:t>
      </w:r>
    </w:p>
  </w:footnote>
  <w:footnote w:id="3">
    <w:p>
      <w:pPr>
        <w:pStyle w:val="FootnoteText"/>
        <w:tabs>
          <w:tab w:val="clear" w:pos="720"/>
          <w:tab w:val="left" w:pos="284" w:leader="none"/>
        </w:tabs>
        <w:ind w:hanging="284" w:start="284" w:end="0"/>
        <w:jc w:val="both"/>
        <w:rPr/>
      </w:pPr>
      <w:r>
        <w:rPr>
          <w:rStyle w:val="FootnoteCharacters"/>
        </w:rPr>
        <w:footnoteRef/>
      </w:r>
      <w:r>
        <w:rPr>
          <w:sz w:val="18"/>
        </w:rPr>
        <w:tab/>
        <w:t>Idem.</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270" w:leader="none"/>
      </w:tabs>
      <w:jc w:val="both"/>
      <w:rPr>
        <w:b/>
        <w:spacing w:val="35"/>
        <w:sz w:val="22"/>
      </w:rPr>
    </w:pPr>
    <w:r>
      <w:rPr>
        <w:b/>
        <w:spacing w:val="35"/>
        <w:sz w:val="22"/>
      </w:rPr>
      <w:t>PINHEIRO NETO - ADVOGADOS</w:t>
    </w:r>
    <w:r>
      <w:rPr>
        <w:b/>
        <w:spacing w:val="45"/>
        <w:sz w:val="22"/>
      </w:rPr>
      <w:tab/>
    </w: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 xml:space="preserve"> -</w:t>
    </w:r>
  </w:p>
  <w:p>
    <w:pPr>
      <w:pStyle w:val="Normal"/>
      <w:tabs>
        <w:tab w:val="clear" w:pos="720"/>
        <w:tab w:val="right" w:pos="9270" w:leader="none"/>
      </w:tabs>
      <w:jc w:val="both"/>
      <w:rPr>
        <w:b/>
        <w:spacing w:val="35"/>
        <w:sz w:val="22"/>
      </w:rPr>
    </w:pPr>
    <w:r>
      <w:rPr>
        <w:b/>
        <w:spacing w:val="35"/>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6"/>
      <w:szCs w:val="20"/>
      <w:lang w:val="en-US" w:eastAsia="zh-CN" w:bidi="hi-IN"/>
    </w:rPr>
  </w:style>
  <w:style w:type="paragraph" w:styleId="Heading1">
    <w:name w:val="heading 1"/>
    <w:basedOn w:val="Normal"/>
    <w:next w:val="Normal"/>
    <w:qFormat/>
    <w:pPr>
      <w:keepNext w:val="true"/>
      <w:widowControl w:val="false"/>
      <w:numPr>
        <w:ilvl w:val="0"/>
        <w:numId w:val="1"/>
      </w:numPr>
      <w:spacing w:lineRule="exact" w:line="360"/>
      <w:jc w:val="end"/>
      <w:outlineLvl w:val="0"/>
    </w:pPr>
    <w:rPr>
      <w:b/>
    </w:rPr>
  </w:style>
  <w:style w:type="paragraph" w:styleId="Heading2">
    <w:name w:val="heading 2"/>
    <w:basedOn w:val="Normal"/>
    <w:next w:val="Normal"/>
    <w:qFormat/>
    <w:pPr>
      <w:keepNext w:val="true"/>
      <w:widowControl w:val="false"/>
      <w:numPr>
        <w:ilvl w:val="1"/>
        <w:numId w:val="1"/>
      </w:numPr>
      <w:spacing w:lineRule="exact" w:line="360"/>
      <w:jc w:val="center"/>
      <w:outlineLvl w:val="1"/>
    </w:pPr>
    <w:rPr>
      <w:b/>
    </w:rPr>
  </w:style>
  <w:style w:type="character" w:styleId="Fontepargpadro">
    <w:name w:val="Fonte parág. padrão"/>
    <w:qFormat/>
    <w:rPr/>
  </w:style>
  <w:style w:type="character" w:styleId="PageNumber">
    <w:name w:val="page number"/>
    <w:basedOn w:val="Fontepargpadro"/>
    <w:rPr/>
  </w:style>
  <w:style w:type="character" w:styleId="FootnoteCharacters">
    <w:name w:val="Footnote Characters"/>
    <w:basedOn w:val="Fontepargpadro"/>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36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Recuodecorpodetexto3">
    <w:name w:val="Recuo de corpo de texto 3"/>
    <w:basedOn w:val="Normal"/>
    <w:qFormat/>
    <w:pPr>
      <w:widowControl w:val="false"/>
      <w:ind w:firstLine="709" w:start="0" w:end="0"/>
      <w:jc w:val="both"/>
    </w:pPr>
    <w:rPr>
      <w:lang w:val="en-GB" w:eastAsia="pt-BR"/>
    </w:rPr>
  </w:style>
  <w:style w:type="paragraph" w:styleId="BodyTextIndent">
    <w:name w:val="Body Text Indent"/>
    <w:basedOn w:val="Normal"/>
    <w:pPr>
      <w:spacing w:lineRule="exact" w:line="360"/>
      <w:ind w:firstLine="720" w:start="0" w:end="0"/>
      <w:jc w:val="both"/>
    </w:pPr>
    <w:rPr>
      <w:lang w:eastAsia="pt-BR"/>
    </w:rPr>
  </w:style>
  <w:style w:type="paragraph" w:styleId="Recuodecorpodetexto2">
    <w:name w:val="Recuo de corpo de texto 2"/>
    <w:basedOn w:val="Normal"/>
    <w:qFormat/>
    <w:pPr>
      <w:widowControl w:val="false"/>
      <w:spacing w:lineRule="exact" w:line="360"/>
      <w:ind w:hanging="0" w:start="1134" w:end="0"/>
      <w:jc w:val="both"/>
    </w:pPr>
    <w:rPr>
      <w:sz w:val="22"/>
      <w:lang w:eastAsia="pt-BR"/>
    </w:rPr>
  </w:style>
  <w:style w:type="paragraph" w:styleId="Estruturadodocumento">
    <w:name w:val="Estrutura do documento"/>
    <w:basedOn w:val="Normal"/>
    <w:qFormat/>
    <w:pPr>
      <w:shd w:fill="000080" w:val="clear"/>
    </w:pPr>
    <w:rPr>
      <w:rFonts w:ascii="Tahoma" w:hAnsi="Tahoma" w:cs="Tahoma"/>
    </w:rPr>
  </w:style>
  <w:style w:type="paragraph" w:styleId="Corpodetexto2">
    <w:name w:val="Corpo de texto 2"/>
    <w:basedOn w:val="Normal"/>
    <w:qFormat/>
    <w:pPr>
      <w:widowControl w:val="false"/>
      <w:spacing w:lineRule="exact" w:line="360"/>
      <w:jc w:val="both"/>
      <w:outlineLvl w:val="0"/>
    </w:pPr>
    <w:rPr>
      <w:b/>
    </w:rPr>
  </w:style>
  <w:style w:type="paragraph" w:styleId="HeaderLeft">
    <w:name w:val="Header Left"/>
    <w:basedOn w:val="Header"/>
    <w:qFormat/>
    <w:pPr>
      <w:suppressLineNumbers/>
      <w:tabs>
        <w:tab w:val="clear" w:pos="4320"/>
        <w:tab w:val="clear" w:pos="8640"/>
        <w:tab w:val="center" w:pos="4649" w:leader="none"/>
        <w:tab w:val="right" w:pos="9299"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2000-12-20T14:58:00Z</dcterms:created>
  <dc:creator>Pinheiro Neto - Advogados</dc:creator>
  <dc:description/>
  <dc:language>en-CA</dc:language>
  <cp:lastModifiedBy>Pinheiro Neto - Advogados</cp:lastModifiedBy>
  <cp:lastPrinted>2000-12-20T12:20:00Z</cp:lastPrinted>
  <dcterms:modified xsi:type="dcterms:W3CDTF">2000-12-20T14:58:00Z</dcterms:modified>
  <cp:revision>2</cp:revision>
  <dc:subject/>
  <dc:title>dplt/maxaud</dc:title>
</cp:coreProperties>
</file>