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mc:AlternateContent>
          <mc:Choice Requires="wps">
            <w:drawing>
              <wp:anchor behindDoc="0" distT="0" distB="0" distL="114935" distR="114935" simplePos="0" locked="0" layoutInCell="1" allowOverlap="1" relativeHeight="6">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rPr>
        <w:t>Generator Interconnection Products and Studies</w:t>
      </w:r>
    </w:p>
    <w:p>
      <w:pPr>
        <w:pStyle w:val="Normal"/>
        <w:jc w:val="center"/>
        <w:rPr>
          <w:b/>
        </w:rPr>
      </w:pPr>
      <w:r>
        <w:rPr>
          <w:b/>
        </w:rPr>
      </w:r>
    </w:p>
    <w:p>
      <w:pPr>
        <w:pStyle w:val="Normal"/>
        <w:rPr>
          <w:b/>
        </w:rPr>
      </w:pPr>
      <w:r>
        <w:rPr>
          <w:b/>
        </w:rPr>
      </w:r>
    </w:p>
    <w:p>
      <w:pPr>
        <w:pStyle w:val="Normal"/>
        <w:rPr>
          <w:b/>
        </w:rPr>
      </w:pPr>
      <w:r>
        <w:rPr>
          <w:b/>
        </w:rPr>
        <w:t>Energy Resource (“ER”) Interconnection Service</w:t>
      </w:r>
    </w:p>
    <w:p>
      <w:pPr>
        <w:pStyle w:val="Normal"/>
        <w:rPr>
          <w:b/>
        </w:rPr>
      </w:pPr>
      <w:r>
        <w:rPr>
          <w:b/>
        </w:rPr>
      </w:r>
    </w:p>
    <w:p>
      <w:pPr>
        <w:pStyle w:val="Normal"/>
        <w:ind w:firstLine="720" w:end="0"/>
        <w:rPr>
          <w:b/>
        </w:rPr>
      </w:pPr>
      <w:r>
        <w:rPr>
          <w:b/>
        </w:rPr>
        <w:t>The Product</w:t>
      </w:r>
    </w:p>
    <w:p>
      <w:pPr>
        <w:pStyle w:val="Normal"/>
        <w:ind w:firstLine="720" w:end="0"/>
        <w:rPr>
          <w:b/>
        </w:rPr>
      </w:pPr>
      <w:r>
        <w:rPr>
          <w:b/>
        </w:rPr>
      </w:r>
    </w:p>
    <w:p>
      <w:pPr>
        <w:pStyle w:val="Normal"/>
        <w:ind w:start="720" w:end="0"/>
        <w:rPr/>
      </w:pPr>
      <w:r>
        <w:rPr/>
        <w:t>Energy Resource interconnection service permits to connect to the Transmission Provider’s system and eligible to deliver the generating facility’s output using the existing capacity of the transmission system on an “as available”</w:t>
      </w:r>
      <w:r>
        <w:rPr>
          <w:rStyle w:val="FootnoteCharacters"/>
          <w:rStyle w:val="FootnoteReference"/>
        </w:rPr>
        <w:footnoteReference w:id="2"/>
      </w:r>
      <w:r>
        <w:rPr/>
        <w:t xml:space="preserve"> basis. To the extent a Generator wants to be an Energy Resource, the Transmission Provider shall construct facilities consistent with the studies identified below.</w:t>
      </w:r>
    </w:p>
    <w:p>
      <w:pPr>
        <w:pStyle w:val="Normal"/>
        <w:rPr>
          <w:b/>
        </w:rPr>
      </w:pPr>
      <w:r>
        <w:rPr>
          <w:b/>
        </w:rPr>
      </w:r>
    </w:p>
    <w:p>
      <w:pPr>
        <w:pStyle w:val="Normal"/>
        <w:rPr>
          <w:b/>
        </w:rPr>
      </w:pPr>
      <w:r>
        <w:rPr>
          <w:b/>
        </w:rPr>
        <w:tab/>
        <w:t>The Study</w:t>
        <w:tab/>
      </w:r>
    </w:p>
    <w:p>
      <w:pPr>
        <w:pStyle w:val="Normal"/>
        <w:rPr>
          <w:b/>
        </w:rPr>
      </w:pPr>
      <w:r>
        <w:rPr>
          <w:b/>
        </w:rPr>
      </w:r>
    </w:p>
    <w:p>
      <w:pPr>
        <w:pStyle w:val="Normal"/>
        <w:ind w:start="720" w:end="0"/>
        <w:rPr/>
      </w:pPr>
      <w:r>
        <w:rPr/>
        <w:t>The study consists of short circuit/fault duty, steady state (thermal and voltage) and stability</w:t>
      </w:r>
      <w:r>
        <w:rPr>
          <w:b/>
        </w:rPr>
        <w:t xml:space="preserve"> </w:t>
      </w:r>
      <w:r>
        <w:rPr/>
        <w:t xml:space="preserve">analyses as presently undertaken by PJM for purposes of studying Energy Resources (see attachment). The short circuit/fault duty analysis would identify direct interconnection facilities required and the network upgrades necessary to address short circuit issues associated with the interconnection facilities.  The stability and steady state studies would, among other things, identify the maximum allowed output, at the time the study is performed, of the interconnecting generator without requiring additional network upgrades. </w:t>
      </w:r>
    </w:p>
    <w:p>
      <w:pPr>
        <w:pStyle w:val="Normal"/>
        <w:rPr/>
      </w:pPr>
      <w:r>
        <w:rPr/>
      </w:r>
    </w:p>
    <w:p>
      <w:pPr>
        <w:pStyle w:val="Normal"/>
        <w:ind w:start="720" w:end="0"/>
        <w:rPr>
          <w:b/>
        </w:rPr>
      </w:pPr>
      <w:r>
        <w:rPr>
          <w:b/>
        </w:rPr>
        <w:t xml:space="preserve">Delivery Service Implications </w:t>
      </w:r>
    </w:p>
    <w:p>
      <w:pPr>
        <w:pStyle w:val="Normal"/>
        <w:ind w:start="720" w:end="0"/>
        <w:rPr/>
      </w:pPr>
      <w:r>
        <w:rPr/>
      </w:r>
    </w:p>
    <w:p>
      <w:pPr>
        <w:pStyle w:val="Normal"/>
        <w:ind w:start="720" w:end="0"/>
        <w:rPr/>
      </w:pPr>
      <w:r>
        <w:rPr/>
        <w:t>The interconnected generator will be able to deliver power across and inject power into the transmission system on an “as available” basis up to the amount of MW’s identified in the stability and steady state studies.  Where eligible to do so (e.g., PJM, ISO-NE, NYISO), the interconnected generator may place a bid to sell into the market up to the maximum identified output, subject to any conditions specified in the interconnection approval,</w:t>
      </w:r>
      <w:r>
        <w:rPr>
          <w:rStyle w:val="FootnoteCharacters"/>
          <w:rStyle w:val="FootnoteReference"/>
        </w:rPr>
        <w:footnoteReference w:id="3"/>
      </w:r>
      <w:r>
        <w:rPr/>
        <w:t xml:space="preserve"> and the plant will be dispatched to the extent the generator’s bid clears.  In all other instances, no delivery is assured, but the interconnecting generator may obtain point-to-point service or be used for secondary network service, pursuant to the transmission tariff, up to the maximum output identified in the stability and steady state studies. In those instances, in order for the Generator to obtain the right to deliver or inject energy beyond the interconnection point or to improve its ability to do so, transmission delivery service must be obtained pursuant to the provisions of the Transmission Provider’s Open Access Transmission Tariff. The Generator’s ability to inject its output beyond the point of interconnection, therefore, will depend on the existing capacity of the Transmission Provider’s system at such time as a transmission service request is made that would accommodate such delivery.  </w:t>
      </w:r>
    </w:p>
    <w:p>
      <w:pPr>
        <w:pStyle w:val="Normal"/>
        <w:ind w:start="720" w:end="0"/>
        <w:rPr/>
      </w:pPr>
      <w:r>
        <w:rPr/>
      </w:r>
    </w:p>
    <w:p>
      <w:pPr>
        <w:pStyle w:val="Normal"/>
        <w:rPr>
          <w:b/>
          <w:bCs/>
        </w:rPr>
      </w:pPr>
      <w:r>
        <w:rPr>
          <w:b/>
          <w:bCs/>
        </w:rPr>
      </w:r>
    </w:p>
    <w:p>
      <w:pPr>
        <w:pStyle w:val="Normal"/>
        <w:rPr>
          <w:b/>
        </w:rPr>
      </w:pPr>
      <w:r>
        <w:rPr>
          <w:rFonts w:eastAsia="Galliard;Bell MT"/>
          <w:b/>
        </w:rPr>
        <w:t xml:space="preserve"> </w:t>
      </w:r>
      <w:r>
        <w:rPr>
          <w:b/>
        </w:rPr>
        <w:t>Network Resource (“NR”) Interconnection Service</w:t>
      </w:r>
    </w:p>
    <w:p>
      <w:pPr>
        <w:pStyle w:val="Normal"/>
        <w:rPr>
          <w:b/>
        </w:rPr>
      </w:pPr>
      <w:r>
        <w:rPr>
          <w:b/>
        </w:rPr>
      </w:r>
    </w:p>
    <w:p>
      <w:pPr>
        <w:pStyle w:val="Normal"/>
        <w:rPr>
          <w:b/>
        </w:rPr>
      </w:pPr>
      <w:r>
        <w:rPr>
          <w:b/>
        </w:rPr>
        <w:tab/>
        <w:t>The Product</w:t>
      </w:r>
    </w:p>
    <w:p>
      <w:pPr>
        <w:pStyle w:val="Normal"/>
        <w:rPr>
          <w:b/>
        </w:rPr>
      </w:pPr>
      <w:r>
        <w:rPr>
          <w:b/>
        </w:rPr>
      </w:r>
    </w:p>
    <w:p>
      <w:pPr>
        <w:pStyle w:val="Normal"/>
        <w:ind w:start="720" w:end="0"/>
        <w:rPr/>
      </w:pPr>
      <w:r>
        <w:rPr/>
        <w:t>The Transmission Provider must conduct the necessary studies and construct the network facilities needed to integrate the Generator’s facility in a manner comparable to that in which the Transmission Provider integrates its generating facilities to serve native load customers.</w:t>
      </w:r>
    </w:p>
    <w:p>
      <w:pPr>
        <w:pStyle w:val="Normal"/>
        <w:ind w:start="720" w:end="0"/>
        <w:rPr/>
      </w:pPr>
      <w:r>
        <w:rPr/>
      </w:r>
    </w:p>
    <w:p>
      <w:pPr>
        <w:pStyle w:val="Normal"/>
        <w:ind w:start="720" w:end="0"/>
        <w:rPr>
          <w:b/>
        </w:rPr>
      </w:pPr>
      <w:r>
        <w:rPr>
          <w:b/>
        </w:rPr>
        <w:t>The Study</w:t>
      </w:r>
    </w:p>
    <w:p>
      <w:pPr>
        <w:pStyle w:val="Normal"/>
        <w:ind w:start="1440" w:end="0"/>
        <w:rPr>
          <w:b/>
        </w:rPr>
      </w:pPr>
      <w:r>
        <w:rPr>
          <w:b/>
        </w:rPr>
      </w:r>
    </w:p>
    <w:p>
      <w:pPr>
        <w:pStyle w:val="Normal"/>
        <w:ind w:start="720" w:end="0"/>
        <w:rPr/>
      </w:pPr>
      <w:r>
        <w:rPr>
          <w:iCs/>
        </w:rPr>
        <w:t>T</w:t>
      </w:r>
      <w:r>
        <w:rPr/>
        <w:t>he interconnection study for Network Resource interconnection service shall assure that the generator meets the requirements of an Energy Resource and as a general matter, a new generator interconnection is also studied with the system at peak load, under a variety of severely stressed conditions, to determine whether, with the interconnecting generator at full output, the aggregate of generation in the local area can be delivered to the aggregate of load on the transmission system, consistent with the Transmission Provider’s reliability criteria and procedures. This approach assumes that some portion of existing network resources are displaced by the output of the Generator’s facility. The PJM Generator Deliverability Procedure, appended hereto, represents an acceptable method for conducting such study. Transmission Providers will be required to file procedures to demonstrate that their procedures meet the design objectives described above. The foregoing study standard does not preclude a Transmission Provider from offering Network Resource service under a study standard less stringent that the PJM Generator Deliverability Procedure.</w:t>
      </w:r>
      <w:r>
        <w:rPr>
          <w:rStyle w:val="FootnoteCharacters"/>
          <w:rStyle w:val="FootnoteReference"/>
        </w:rPr>
        <w:footnoteReference w:id="4"/>
      </w:r>
    </w:p>
    <w:p>
      <w:pPr>
        <w:pStyle w:val="Normal"/>
        <w:ind w:start="720" w:end="0"/>
        <w:rPr/>
      </w:pPr>
      <w:r>
        <w:rPr/>
      </w:r>
    </w:p>
    <w:p>
      <w:pPr>
        <w:pStyle w:val="BodyTextIndent"/>
        <w:rPr/>
      </w:pPr>
      <w:r>
        <w:rPr/>
        <w:t xml:space="preserve">The interconnecting generator may request the studies associated with Network Resource interconnection service at the time of its interconnection application, together with its request(s) for study for other levels of service, and, following the completion of the requested facilities studies, may elect to proceed with Network Resource interconnection service or to proceed under a different level of service.  </w:t>
      </w:r>
    </w:p>
    <w:p>
      <w:pPr>
        <w:pStyle w:val="Normal"/>
        <w:ind w:start="720" w:end="0"/>
        <w:rPr/>
      </w:pPr>
      <w:r>
        <w:rPr/>
      </w:r>
    </w:p>
    <w:p>
      <w:pPr>
        <w:pStyle w:val="Normal"/>
        <w:ind w:start="720" w:end="0"/>
        <w:rPr/>
      </w:pPr>
      <w:r>
        <w:rPr/>
        <w:t>There is no requirement that, at the time of study or interconnection, the interconnecting generator either be designated by a network customer or identify a specific buyer (or sink).</w:t>
      </w:r>
    </w:p>
    <w:p>
      <w:pPr>
        <w:pStyle w:val="Normal"/>
        <w:ind w:start="720" w:end="0"/>
        <w:rPr/>
      </w:pPr>
      <w:r>
        <w:rPr/>
      </w:r>
    </w:p>
    <w:p>
      <w:pPr>
        <w:pStyle w:val="Normal"/>
        <w:ind w:start="720" w:end="0"/>
        <w:rPr/>
      </w:pPr>
      <w:r>
        <w:rPr/>
      </w:r>
    </w:p>
    <w:p>
      <w:pPr>
        <w:pStyle w:val="Normal"/>
        <w:ind w:start="720" w:end="0"/>
        <w:rPr/>
      </w:pPr>
      <w:r>
        <w:rPr>
          <w:b/>
        </w:rPr>
        <w:t>Delivery Service Implications</w:t>
      </w:r>
      <w:r>
        <w:rPr/>
        <w:t xml:space="preserve">: </w:t>
      </w:r>
    </w:p>
    <w:p>
      <w:pPr>
        <w:pStyle w:val="Normal"/>
        <w:ind w:start="720" w:end="0"/>
        <w:rPr/>
      </w:pPr>
      <w:r>
        <w:rPr/>
      </w:r>
    </w:p>
    <w:p>
      <w:pPr>
        <w:pStyle w:val="Normal"/>
        <w:ind w:start="720" w:end="0"/>
        <w:rPr/>
      </w:pPr>
      <w:r>
        <w:rPr/>
        <w:t>This service allows the interconnecting generator to be designated by any network customer on the Transmission Provider’s system as its Network Resource, up to the generating unit’s full output, on the same basis as all other existing Network Resources interconnected to the transmission system, and to be studied as a Network Resource on the assumption that such a designation will occur.  Any network customer can utilize its network service to obtain delivery of energy [and applicable ancillary services] from the interconnected generator in the same manner as it accesses other network resources. In addition, in the event of transmission constraints on the Transmission Provider’s system, the Generator shall be subject to the applicable congestion management procedures in that system in the same manner as all other network resources.</w:t>
      </w:r>
      <w:r>
        <w:rPr>
          <w:rStyle w:val="FootnoteCharacters"/>
          <w:rStyle w:val="FootnoteReference"/>
        </w:rPr>
        <w:footnoteReference w:id="5"/>
      </w:r>
      <w:r>
        <w:rPr/>
        <w:t xml:space="preserve">  </w:t>
      </w:r>
    </w:p>
    <w:p>
      <w:pPr>
        <w:pStyle w:val="Normal"/>
        <w:rPr/>
      </w:pPr>
      <w:r>
        <w:rPr/>
      </w:r>
    </w:p>
    <w:p>
      <w:pPr>
        <w:pStyle w:val="Normal"/>
        <w:ind w:start="720" w:end="0"/>
        <w:rPr/>
      </w:pPr>
      <w:r>
        <w:rPr/>
        <w:t>Once a generator satisfies the requirements for obtaining Network Resource interconnection service, it retains that qualification.</w:t>
      </w:r>
    </w:p>
    <w:p>
      <w:pPr>
        <w:pStyle w:val="Normal"/>
        <w:rPr/>
      </w:pPr>
      <w:r>
        <w:rPr/>
      </w:r>
    </w:p>
    <w:p>
      <w:pPr>
        <w:pStyle w:val="Normal"/>
        <w:ind w:start="720" w:end="0"/>
        <w:rPr/>
      </w:pPr>
      <w:r>
        <w:rPr/>
        <w:t>Depending on how the cost allocation issue is resolved, the interconnecting generator may be allocated congestion rights based on construction of upgrades.</w:t>
      </w:r>
    </w:p>
    <w:p>
      <w:pPr>
        <w:pStyle w:val="Normal"/>
        <w:rPr/>
      </w:pPr>
      <w:r>
        <w:rPr/>
      </w:r>
    </w:p>
    <w:p>
      <w:pPr>
        <w:pStyle w:val="Normal"/>
        <w:ind w:start="720" w:end="0"/>
        <w:rPr/>
      </w:pPr>
      <w:r>
        <w:rPr/>
      </w:r>
    </w:p>
    <w:p>
      <w:pPr>
        <w:pStyle w:val="Normal"/>
        <w:rPr/>
      </w:pPr>
      <w:r>
        <w:rPr>
          <w:b/>
        </w:rPr>
        <w:t>Optional Interconnection Service(s) [</w:t>
      </w:r>
      <w:r>
        <w:rPr>
          <w:bCs/>
        </w:rPr>
        <w:t>This section reflects one type of optional service where consensus was achieved. Insufficient time existed to reach further agreement and absence of further options below does not reflect a consensus that optional services should be limited to the one service identified.</w:t>
      </w:r>
      <w:r>
        <w:rPr>
          <w:b/>
        </w:rPr>
        <w:t>]</w:t>
      </w:r>
    </w:p>
    <w:p>
      <w:pPr>
        <w:pStyle w:val="Normal"/>
        <w:rPr>
          <w:b/>
        </w:rPr>
      </w:pPr>
      <w:r>
        <w:rPr>
          <w:b/>
        </w:rPr>
      </w:r>
    </w:p>
    <w:p>
      <w:pPr>
        <w:pStyle w:val="Normal"/>
        <w:rPr>
          <w:b/>
        </w:rPr>
      </w:pPr>
      <w:r>
        <w:rPr>
          <w:b/>
        </w:rPr>
        <w:tab/>
        <w:t>The Product</w:t>
      </w:r>
    </w:p>
    <w:p>
      <w:pPr>
        <w:pStyle w:val="Normal"/>
        <w:rPr>
          <w:b/>
        </w:rPr>
      </w:pPr>
      <w:r>
        <w:rPr>
          <w:b/>
        </w:rPr>
      </w:r>
    </w:p>
    <w:p>
      <w:pPr>
        <w:pStyle w:val="Normal"/>
        <w:ind w:start="720" w:end="0"/>
        <w:rPr>
          <w:i/>
          <w:i/>
          <w:iCs/>
        </w:rPr>
      </w:pPr>
      <w:r>
        <w:rPr>
          <w:i/>
          <w:iCs/>
        </w:rPr>
        <w:t>Simple Interconnection service</w:t>
      </w:r>
    </w:p>
    <w:p>
      <w:pPr>
        <w:pStyle w:val="Normal"/>
        <w:ind w:start="720" w:end="0"/>
        <w:rPr/>
      </w:pPr>
      <w:r>
        <w:rPr/>
        <w:t xml:space="preserve">This service would allow the interconnecting generator to physically interconnect its facilities to those of the Transmission Provider but does not provide the ability for the Generator to synchronize its facility with the Transmission Provider’s system (i.e., breaker open). </w:t>
      </w:r>
    </w:p>
    <w:p>
      <w:pPr>
        <w:pStyle w:val="Normal"/>
        <w:rPr>
          <w:b/>
        </w:rPr>
      </w:pPr>
      <w:r>
        <w:rPr>
          <w:b/>
        </w:rPr>
      </w:r>
    </w:p>
    <w:p>
      <w:pPr>
        <w:pStyle w:val="Normal"/>
        <w:ind w:start="720" w:end="0"/>
        <w:rPr>
          <w:b/>
        </w:rPr>
      </w:pPr>
      <w:r>
        <w:rPr>
          <w:b/>
        </w:rPr>
        <w:t>The Study</w:t>
      </w:r>
    </w:p>
    <w:p>
      <w:pPr>
        <w:pStyle w:val="Normal"/>
        <w:ind w:start="720" w:end="0"/>
        <w:rPr>
          <w:b/>
        </w:rPr>
      </w:pPr>
      <w:r>
        <w:rPr>
          <w:b/>
        </w:rPr>
      </w:r>
    </w:p>
    <w:p>
      <w:pPr>
        <w:pStyle w:val="Normal"/>
        <w:ind w:start="720" w:end="0"/>
        <w:rPr>
          <w:bCs/>
          <w:i/>
          <w:i/>
          <w:iCs/>
        </w:rPr>
      </w:pPr>
      <w:r>
        <w:rPr>
          <w:bCs/>
          <w:i/>
          <w:iCs/>
        </w:rPr>
        <w:t>Simple Interconnection service</w:t>
      </w:r>
    </w:p>
    <w:p>
      <w:pPr>
        <w:pStyle w:val="BodyTextIndent"/>
        <w:rPr>
          <w:bCs/>
        </w:rPr>
      </w:pPr>
      <w:r>
        <w:rPr>
          <w:bCs/>
        </w:rPr>
        <w:t xml:space="preserve">The Transmission Provider would perform only the studies needed to determine the requirements of the physical interconnection facilities. </w:t>
      </w:r>
    </w:p>
    <w:p>
      <w:pPr>
        <w:pStyle w:val="Normal"/>
        <w:rPr>
          <w:bCs/>
        </w:rPr>
      </w:pPr>
      <w:r>
        <w:rPr>
          <w:bCs/>
        </w:rPr>
      </w:r>
    </w:p>
    <w:p>
      <w:pPr>
        <w:pStyle w:val="Normal"/>
        <w:ind w:start="720" w:end="0"/>
        <w:rPr>
          <w:b/>
        </w:rPr>
      </w:pPr>
      <w:r>
        <w:rPr>
          <w:b/>
        </w:rPr>
      </w:r>
    </w:p>
    <w:p>
      <w:pPr>
        <w:pStyle w:val="Normal"/>
        <w:ind w:start="720" w:end="0"/>
        <w:rPr>
          <w:b/>
        </w:rPr>
      </w:pPr>
      <w:r>
        <w:rPr>
          <w:b/>
        </w:rPr>
        <w:t>Delivery Service Implications</w:t>
      </w:r>
    </w:p>
    <w:p>
      <w:pPr>
        <w:pStyle w:val="Normal"/>
        <w:ind w:start="720" w:end="0"/>
        <w:rPr>
          <w:b/>
        </w:rPr>
      </w:pPr>
      <w:r>
        <w:rPr>
          <w:b/>
        </w:rPr>
      </w:r>
    </w:p>
    <w:p>
      <w:pPr>
        <w:pStyle w:val="Normal"/>
        <w:ind w:start="720" w:end="0"/>
        <w:rPr>
          <w:i/>
          <w:i/>
          <w:iCs/>
        </w:rPr>
      </w:pPr>
      <w:r>
        <w:rPr>
          <w:i/>
          <w:iCs/>
        </w:rPr>
        <w:t>Simple Interconnection service</w:t>
      </w:r>
    </w:p>
    <w:p>
      <w:pPr>
        <w:pStyle w:val="BodyTextIndent"/>
        <w:rPr/>
      </w:pPr>
      <w:r>
        <w:rPr/>
        <w:t>Generators do not have any right to inject power into the grid under this interconnection service.</w:t>
      </w:r>
    </w:p>
    <w:p>
      <w:pPr>
        <w:pStyle w:val="Normal"/>
        <w:ind w:start="720" w:end="0"/>
        <w:rPr/>
      </w:pPr>
      <w:r>
        <w:rPr/>
      </w:r>
    </w:p>
    <w:p>
      <w:pPr>
        <w:pStyle w:val="Normal"/>
        <w:ind w:start="720" w:end="0"/>
        <w:rPr/>
      </w:pPr>
      <w:r>
        <w:rPr/>
      </w:r>
    </w:p>
    <w:p>
      <w:pPr>
        <w:pStyle w:val="Normal"/>
        <w:ind w:start="720" w:end="0"/>
        <w:rPr/>
      </w:pPr>
      <w:r>
        <w:rPr/>
      </w:r>
    </w:p>
    <w:sectPr>
      <w:headerReference w:type="default" r:id="rId2"/>
      <w:footerReference w:type="default" r:id="rId3"/>
      <w:footnotePr>
        <w:numFmt w:val="decimal"/>
      </w:footnotePr>
      <w:type w:val="nextPage"/>
      <w:pgSz w:w="12240" w:h="15840"/>
      <w:pgMar w:left="1440" w:right="1440" w:gutter="0" w:header="432"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Bell MT"/>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1369082</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TC#201!.DOC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With respect to an Energy Resource (ER), “as available” means: (1) where congestion relief requires curtailments, ER’s will be curtailed prior to network and firm service, but after non-firm, (2) an ER cannot be designated as a Network Resource by a Network Customer, (3) a network customer can take delivery of the generator’s output as secondary service. The value of this product may not be realized absent a market-based congestion management system.</w:t>
      </w:r>
    </w:p>
  </w:footnote>
  <w:footnote w:id="3">
    <w:p>
      <w:pPr>
        <w:pStyle w:val="FootnoteText"/>
        <w:spacing w:before="0" w:after="120"/>
        <w:rPr/>
      </w:pPr>
      <w:r>
        <w:rPr>
          <w:rStyle w:val="FootnoteCharacters"/>
        </w:rPr>
        <w:footnoteRef/>
      </w:r>
      <w:r>
        <w:rPr/>
        <w:t xml:space="preserve"> </w:t>
      </w:r>
      <w:r>
        <w:rPr/>
        <w:t>For example, in New England, a generator may interconnect on a subordinated basis; i.e., it can be permitted to sell energy as a network resource prior to completion of all upgrades associated with its study and prior to completion of the upgrades associated with other generator’s earlier in the queue provided the generator agrees to be subordinate to the earlier queued projects.  For example, #5 in the queue may elect not to study #3 and #4 in the queue, but #5 would assume the risk, that if #3 or #4 are proceeding at the time #5 is ready to interconnect, that #5 would have to be restudied to include those other project(s).</w:t>
      </w:r>
    </w:p>
  </w:footnote>
  <w:footnote w:id="4">
    <w:p>
      <w:pPr>
        <w:pStyle w:val="FootnoteText"/>
        <w:spacing w:before="0" w:after="120"/>
        <w:rPr/>
      </w:pPr>
      <w:r>
        <w:rPr>
          <w:rStyle w:val="FootnoteCharacters"/>
        </w:rPr>
        <w:footnoteRef/>
      </w:r>
      <w:r>
        <w:rPr/>
        <w:t xml:space="preserve"> </w:t>
      </w:r>
      <w:r>
        <w:rPr/>
        <w:t xml:space="preserve">For example, satisfying a Minimum Interconnection Standard for New York ISO and for ISO New England which is less stringent than the standard defined above for Network Resource interconnection service allows any generator in those markets to compete in the energy, capacity and ancillary service markets on an equal basis. In PJM, satisfying the Energy Resource standard allows the generator to become a Network Resource for the purposes of the Energy market. </w:t>
      </w:r>
    </w:p>
  </w:footnote>
  <w:footnote w:id="5">
    <w:p>
      <w:pPr>
        <w:pStyle w:val="FootnoteText"/>
        <w:spacing w:before="0" w:after="120"/>
        <w:rPr/>
      </w:pPr>
      <w:r>
        <w:rPr>
          <w:rStyle w:val="FootnoteCharacters"/>
        </w:rPr>
        <w:footnoteRef/>
      </w:r>
      <w:r>
        <w:rPr/>
        <w:t xml:space="preserve"> </w:t>
      </w:r>
      <w:r>
        <w:rPr/>
        <w:t>If there is congestion, the Transmission Provider will relieve congestion including, but not limited to, the use of least cost redispatch.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rPr>
    </w:pPr>
    <w:r>
      <w:rPr>
        <w:i/>
      </w:rPr>
      <w:t>Dickstein Shapiro Morin &amp; Oshinsky LLP</w:t>
    </w:r>
  </w:p>
  <w:p>
    <w:pPr>
      <w:pStyle w:val="Header"/>
      <w:jc w:val="end"/>
      <w:rPr>
        <w:i/>
        <w:i/>
      </w:rPr>
    </w:pPr>
    <w:r>
      <w:rPr>
        <w:i/>
      </w:rPr>
      <w:t>Draft for Settlement Discussion Purposes Only</w:t>
    </w:r>
  </w:p>
  <w:p>
    <w:pPr>
      <w:pStyle w:val="Header"/>
      <w:jc w:val="end"/>
      <w:rPr>
        <w:i/>
        <w:i/>
      </w:rPr>
    </w:pPr>
    <w:r>
      <w:rPr>
        <w:i/>
      </w:rPr>
      <w:t>11/15/01  3:47 PM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Bell MT" w:hAnsi="Galliard;Bell MT" w:eastAsia="Times New Roman" w:cs="Galliard;Bell MT"/>
      <w:color w:val="auto"/>
      <w:sz w:val="24"/>
      <w:szCs w:val="20"/>
      <w:lang w:val="en-US" w:bidi="ar-SA" w:eastAsia="zh-C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BodyTextIndent">
    <w:name w:val="Body Text Indent"/>
    <w:basedOn w:val="Normal"/>
    <w:pPr>
      <w:ind w:hanging="0" w:start="720" w:end="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BodyTextIndent2">
    <w:name w:val="Body Text Indent 2"/>
    <w:basedOn w:val="Normal"/>
    <w:qFormat/>
    <w:pPr>
      <w:spacing w:lineRule="auto" w:line="480"/>
      <w:ind w:firstLine="720" w:start="0" w:end="0"/>
      <w:jc w:val="both"/>
    </w:pPr>
    <w:rPr>
      <w:b/>
      <w:bCs/>
    </w:rPr>
  </w:style>
  <w:style w:type="paragraph" w:styleId="BodyTextIndent3">
    <w:name w:val="Body Text Indent 3"/>
    <w:basedOn w:val="Normal"/>
    <w:qFormat/>
    <w:pPr>
      <w:ind w:hanging="0" w:start="720" w:end="0"/>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2001-11-19T19:25:00Z</dcterms:created>
  <dc:creator>George Johnson</dc:creator>
  <dc:description/>
  <dc:language>en-CA</dc:language>
  <cp:lastModifiedBy>Susan Lindberg</cp:lastModifiedBy>
  <cp:lastPrinted>2001-11-19T15:44:00Z</cp:lastPrinted>
  <dcterms:modified xsi:type="dcterms:W3CDTF">2001-11-19T19:25:00Z</dcterms:modified>
  <cp:revision>2</cp:revision>
  <dc:subject/>
  <dc:title>rev.4 generator interconnection products/study scope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TC#201!.DOC</vt:lpwstr>
  </property>
  <property fmtid="{D5CDD505-2E9C-101B-9397-08002B2CF9AE}" pid="3" name="DOCSDocVer">
    <vt:lpwstr>1</vt:lpwstr>
  </property>
  <property fmtid="{D5CDD505-2E9C-101B-9397-08002B2CF9AE}" pid="4" name="DOCSNumber">
    <vt:lpwstr>1369082</vt:lpwstr>
  </property>
</Properties>
</file>