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20750" cy="914400"/>
                    </a:xfrm>
                    <a:prstGeom prst="rect">
                      <a:avLst/>
                    </a:prstGeom>
                    <a:noFill/>
                  </pic:spPr>
                </pic:pic>
              </a:graphicData>
            </a:graphic>
          </wp:inline>
        </w:drawing>
      </w:r>
      <w:r>
        <w:rPr/>
        <w:tab/>
        <w:tab/>
        <w:tab/>
        <w:t>PRIVILEGED AND CONFIDENTIAL</w:t>
      </w:r>
    </w:p>
    <w:p>
      <w:pPr>
        <w:pStyle w:val="Heading"/>
        <w:widowControl/>
        <w:rPr/>
      </w:pPr>
      <w:r>
        <w:rPr/>
        <w:tab/>
        <w:tab/>
        <w:tab/>
        <w:tab/>
        <w:tab/>
        <w:t>ATTORNEY-CLIENT PRIVILEGE</w:t>
      </w:r>
    </w:p>
    <w:p>
      <w:pPr>
        <w:pStyle w:val="Heading"/>
        <w:widowControl/>
        <w:rPr/>
      </w:pPr>
      <w:r>
        <w:rPr/>
        <w:tab/>
      </w:r>
    </w:p>
    <w:tbl>
      <w:tblPr>
        <w:tblW w:w="9358" w:type="dxa"/>
        <w:jc w:val="start"/>
        <w:tblInd w:w="200" w:type="dxa"/>
        <w:tblLayout w:type="fixed"/>
        <w:tblCellMar>
          <w:top w:w="0" w:type="dxa"/>
          <w:start w:w="108" w:type="dxa"/>
          <w:bottom w:w="0" w:type="dxa"/>
          <w:end w:w="108" w:type="dxa"/>
        </w:tblCellMar>
      </w:tblPr>
      <w:tblGrid>
        <w:gridCol w:w="898"/>
        <w:gridCol w:w="4770"/>
        <w:gridCol w:w="1440"/>
        <w:gridCol w:w="2250"/>
      </w:tblGrid>
      <w:tr>
        <w:trPr>
          <w:trHeight w:val="300" w:hRule="exact"/>
        </w:trPr>
        <w:tc>
          <w:tcPr>
            <w:tcW w:w="898" w:type="dxa"/>
            <w:tcBorders/>
          </w:tcPr>
          <w:p>
            <w:pPr>
              <w:pStyle w:val="Normal"/>
              <w:ind w:start="-180" w:end="0"/>
              <w:jc w:val="end"/>
              <w:rPr/>
            </w:pPr>
            <w:r>
              <w:rPr/>
              <w:t>To:</w:t>
            </w:r>
          </w:p>
        </w:tc>
        <w:tc>
          <w:tcPr>
            <w:tcW w:w="4770" w:type="dxa"/>
            <w:tcBorders/>
          </w:tcPr>
          <w:p>
            <w:pPr>
              <w:pStyle w:val="To"/>
              <w:widowControl/>
              <w:rPr>
                <w:sz w:val="24"/>
              </w:rPr>
            </w:pPr>
            <w:r>
              <w:rPr>
                <w:sz w:val="24"/>
              </w:rPr>
              <w:t>Stan Horton</w:t>
            </w:r>
          </w:p>
        </w:tc>
        <w:tc>
          <w:tcPr>
            <w:tcW w:w="1440" w:type="dxa"/>
            <w:tcBorders/>
          </w:tcPr>
          <w:p>
            <w:pPr>
              <w:pStyle w:val="Normal"/>
              <w:snapToGrid w:val="false"/>
              <w:ind w:start="-180" w:end="0"/>
              <w:rPr>
                <w:sz w:val="24"/>
              </w:rPr>
            </w:pPr>
            <w:r>
              <w:rPr>
                <w:sz w:val="24"/>
              </w:rPr>
            </w:r>
          </w:p>
        </w:tc>
        <w:tc>
          <w:tcPr>
            <w:tcW w:w="2250" w:type="dxa"/>
            <w:tcBorders/>
          </w:tcPr>
          <w:p>
            <w:pPr>
              <w:pStyle w:val="Normal"/>
              <w:snapToGrid w:val="false"/>
              <w:rPr/>
            </w:pPr>
            <w:r>
              <w:rPr/>
            </w:r>
          </w:p>
        </w:tc>
      </w:tr>
      <w:tr>
        <w:trPr>
          <w:trHeight w:val="216" w:hRule="exact"/>
        </w:trPr>
        <w:tc>
          <w:tcPr>
            <w:tcW w:w="898" w:type="dxa"/>
            <w:tcBorders/>
          </w:tcPr>
          <w:p>
            <w:pPr>
              <w:pStyle w:val="Normal"/>
              <w:snapToGrid w:val="false"/>
              <w:ind w:start="-180" w:end="0"/>
              <w:jc w:val="end"/>
              <w:rPr/>
            </w:pPr>
            <w:r>
              <w:rPr/>
            </w:r>
          </w:p>
        </w:tc>
        <w:tc>
          <w:tcPr>
            <w:tcW w:w="4770" w:type="dxa"/>
            <w:tcBorders/>
          </w:tcPr>
          <w:p>
            <w:pPr>
              <w:pStyle w:val="Normal"/>
              <w:snapToGrid w:val="false"/>
              <w:rPr/>
            </w:pPr>
            <w:r>
              <w:rPr/>
            </w:r>
          </w:p>
        </w:tc>
        <w:tc>
          <w:tcPr>
            <w:tcW w:w="1440" w:type="dxa"/>
            <w:tcBorders/>
          </w:tcPr>
          <w:p>
            <w:pPr>
              <w:pStyle w:val="Normal"/>
              <w:snapToGrid w:val="false"/>
              <w:ind w:start="-180" w:end="0"/>
              <w:rPr/>
            </w:pPr>
            <w:r>
              <w:rPr/>
            </w:r>
          </w:p>
        </w:tc>
        <w:tc>
          <w:tcPr>
            <w:tcW w:w="2250" w:type="dxa"/>
            <w:tcBorders/>
          </w:tcPr>
          <w:p>
            <w:pPr>
              <w:pStyle w:val="Normal"/>
              <w:snapToGrid w:val="false"/>
              <w:rPr/>
            </w:pPr>
            <w:r>
              <w:rPr/>
            </w:r>
          </w:p>
        </w:tc>
      </w:tr>
      <w:tr>
        <w:trPr>
          <w:trHeight w:val="300" w:hRule="exact"/>
        </w:trPr>
        <w:tc>
          <w:tcPr>
            <w:tcW w:w="898" w:type="dxa"/>
            <w:tcBorders/>
          </w:tcPr>
          <w:p>
            <w:pPr>
              <w:pStyle w:val="Normal"/>
              <w:ind w:start="-180" w:end="0"/>
              <w:jc w:val="end"/>
              <w:rPr/>
            </w:pPr>
            <w:r>
              <w:rPr/>
              <w:t>From:</w:t>
            </w:r>
          </w:p>
        </w:tc>
        <w:tc>
          <w:tcPr>
            <w:tcW w:w="4770" w:type="dxa"/>
            <w:tcBorders/>
          </w:tcPr>
          <w:p>
            <w:pPr>
              <w:pStyle w:val="From"/>
              <w:widowControl/>
              <w:rPr>
                <w:sz w:val="24"/>
              </w:rPr>
            </w:pPr>
            <w:r>
              <w:rPr>
                <w:sz w:val="24"/>
              </w:rPr>
              <w:t>Drew Fossum</w:t>
            </w:r>
          </w:p>
        </w:tc>
        <w:tc>
          <w:tcPr>
            <w:tcW w:w="1440" w:type="dxa"/>
            <w:tcBorders/>
          </w:tcPr>
          <w:p>
            <w:pPr>
              <w:pStyle w:val="Normal"/>
              <w:ind w:start="-180" w:end="0"/>
              <w:jc w:val="end"/>
              <w:rPr/>
            </w:pPr>
            <w:r>
              <w:rPr/>
              <w:t>Department:</w:t>
            </w:r>
          </w:p>
        </w:tc>
        <w:tc>
          <w:tcPr>
            <w:tcW w:w="2250" w:type="dxa"/>
            <w:tcBorders/>
          </w:tcPr>
          <w:p>
            <w:pPr>
              <w:pStyle w:val="Department"/>
              <w:widowControl/>
              <w:rPr>
                <w:sz w:val="24"/>
              </w:rPr>
            </w:pPr>
            <w:r>
              <w:rPr>
                <w:sz w:val="24"/>
              </w:rPr>
              <w:t>ET&amp;S Law</w:t>
            </w:r>
          </w:p>
        </w:tc>
      </w:tr>
      <w:tr>
        <w:trPr>
          <w:trHeight w:val="216" w:hRule="exact"/>
        </w:trPr>
        <w:tc>
          <w:tcPr>
            <w:tcW w:w="898" w:type="dxa"/>
            <w:tcBorders/>
          </w:tcPr>
          <w:p>
            <w:pPr>
              <w:pStyle w:val="Normal"/>
              <w:snapToGrid w:val="false"/>
              <w:ind w:start="-180" w:end="0"/>
              <w:jc w:val="end"/>
              <w:rPr>
                <w:sz w:val="24"/>
              </w:rPr>
            </w:pPr>
            <w:r>
              <w:rPr>
                <w:sz w:val="24"/>
              </w:rPr>
            </w:r>
          </w:p>
        </w:tc>
        <w:tc>
          <w:tcPr>
            <w:tcW w:w="4770" w:type="dxa"/>
            <w:tcBorders/>
          </w:tcPr>
          <w:p>
            <w:pPr>
              <w:pStyle w:val="Normal"/>
              <w:snapToGrid w:val="false"/>
              <w:rPr/>
            </w:pPr>
            <w:r>
              <w:rPr/>
            </w:r>
          </w:p>
        </w:tc>
        <w:tc>
          <w:tcPr>
            <w:tcW w:w="1440" w:type="dxa"/>
            <w:tcBorders/>
          </w:tcPr>
          <w:p>
            <w:pPr>
              <w:pStyle w:val="Normal"/>
              <w:snapToGrid w:val="false"/>
              <w:ind w:start="-180" w:end="0"/>
              <w:rPr/>
            </w:pPr>
            <w:r>
              <w:rPr/>
            </w:r>
          </w:p>
        </w:tc>
        <w:tc>
          <w:tcPr>
            <w:tcW w:w="2250" w:type="dxa"/>
            <w:tcBorders/>
          </w:tcPr>
          <w:p>
            <w:pPr>
              <w:pStyle w:val="Normal"/>
              <w:snapToGrid w:val="false"/>
              <w:rPr/>
            </w:pPr>
            <w:r>
              <w:rPr/>
            </w:r>
          </w:p>
        </w:tc>
      </w:tr>
      <w:tr>
        <w:trPr>
          <w:trHeight w:val="600" w:hRule="exact"/>
        </w:trPr>
        <w:tc>
          <w:tcPr>
            <w:tcW w:w="898" w:type="dxa"/>
            <w:tcBorders>
              <w:bottom w:val="single" w:sz="18" w:space="0" w:color="000000"/>
            </w:tcBorders>
          </w:tcPr>
          <w:p>
            <w:pPr>
              <w:pStyle w:val="Normal"/>
              <w:ind w:start="-180" w:end="0"/>
              <w:jc w:val="end"/>
              <w:rPr/>
            </w:pPr>
            <w:r>
              <w:rPr/>
              <w:t>Subject:</w:t>
            </w:r>
          </w:p>
        </w:tc>
        <w:tc>
          <w:tcPr>
            <w:tcW w:w="4770" w:type="dxa"/>
            <w:tcBorders>
              <w:bottom w:val="single" w:sz="18" w:space="0" w:color="000000"/>
            </w:tcBorders>
          </w:tcPr>
          <w:p>
            <w:pPr>
              <w:pStyle w:val="Subject"/>
              <w:widowControl/>
              <w:rPr>
                <w:sz w:val="24"/>
              </w:rPr>
            </w:pPr>
            <w:r>
              <w:rPr>
                <w:sz w:val="24"/>
              </w:rPr>
              <w:t xml:space="preserve">Status of </w:t>
            </w:r>
            <w:r>
              <w:rPr>
                <w:sz w:val="24"/>
                <w:u w:val="single"/>
              </w:rPr>
              <w:t>Conoco, Inc. v.</w:t>
            </w:r>
          </w:p>
          <w:p>
            <w:pPr>
              <w:pStyle w:val="Subject"/>
              <w:widowControl/>
              <w:rPr/>
            </w:pPr>
            <w:r>
              <w:rPr>
                <w:sz w:val="24"/>
                <w:u w:val="single"/>
              </w:rPr>
              <w:t>Northern Natural Gas Co.</w:t>
            </w:r>
            <w:r>
              <w:rPr>
                <w:sz w:val="24"/>
              </w:rPr>
              <w:t>, No. B-39109</w:t>
            </w:r>
          </w:p>
        </w:tc>
        <w:tc>
          <w:tcPr>
            <w:tcW w:w="1440" w:type="dxa"/>
            <w:tcBorders>
              <w:bottom w:val="single" w:sz="18" w:space="0" w:color="000000"/>
            </w:tcBorders>
          </w:tcPr>
          <w:p>
            <w:pPr>
              <w:pStyle w:val="Normal"/>
              <w:ind w:start="-180" w:end="0"/>
              <w:jc w:val="end"/>
              <w:rPr/>
            </w:pPr>
            <w:r>
              <w:rPr/>
              <w:t>Date:</w:t>
            </w:r>
          </w:p>
        </w:tc>
        <w:tc>
          <w:tcPr>
            <w:tcW w:w="2250" w:type="dxa"/>
            <w:tcBorders>
              <w:bottom w:val="single" w:sz="18" w:space="0" w:color="000000"/>
            </w:tcBorders>
          </w:tcPr>
          <w:p>
            <w:pPr>
              <w:pStyle w:val="Date"/>
              <w:widowControl/>
              <w:rPr>
                <w:sz w:val="24"/>
              </w:rPr>
            </w:pPr>
            <w:r>
              <w:rPr>
                <w:sz w:val="24"/>
              </w:rPr>
              <w:t>February 17, 2000</w:t>
            </w:r>
          </w:p>
        </w:tc>
      </w:tr>
    </w:tbl>
    <w:p>
      <w:pPr>
        <w:pStyle w:val="Body"/>
        <w:widowControl/>
        <w:rPr>
          <w:sz w:val="24"/>
        </w:rPr>
      </w:pPr>
      <w:r>
        <w:rPr>
          <w:sz w:val="24"/>
        </w:rPr>
      </w:r>
    </w:p>
    <w:p>
      <w:pPr>
        <w:pStyle w:val="Body"/>
        <w:widowControl/>
        <w:rPr>
          <w:sz w:val="24"/>
        </w:rPr>
      </w:pPr>
      <w:bookmarkStart w:id="0" w:name="StartOfMemo"/>
      <w:bookmarkEnd w:id="0"/>
      <w:r>
        <w:rPr>
          <w:sz w:val="24"/>
        </w:rPr>
        <w:tab/>
        <w:t>As  you requested, following is a summary of the status of the referenced case, including a brief description of the parties’ litigation and settlement positions.  We expect to get on your calendar for an hour or so to elaborate on several of these points shortly before the March 29 mediation.</w:t>
      </w:r>
    </w:p>
    <w:p>
      <w:pPr>
        <w:pStyle w:val="Body"/>
        <w:widowControl/>
        <w:rPr>
          <w:sz w:val="24"/>
        </w:rPr>
      </w:pPr>
      <w:r>
        <w:rPr>
          <w:sz w:val="24"/>
        </w:rPr>
      </w:r>
    </w:p>
    <w:p>
      <w:pPr>
        <w:pStyle w:val="Body"/>
        <w:widowControl/>
        <w:numPr>
          <w:ilvl w:val="0"/>
          <w:numId w:val="1"/>
        </w:numPr>
        <w:rPr>
          <w:sz w:val="24"/>
        </w:rPr>
      </w:pPr>
      <w:r>
        <w:rPr>
          <w:sz w:val="24"/>
        </w:rPr>
        <w:t>History of the Litigation</w:t>
      </w:r>
    </w:p>
    <w:p>
      <w:pPr>
        <w:pStyle w:val="Body"/>
        <w:widowControl/>
        <w:rPr>
          <w:sz w:val="24"/>
        </w:rPr>
      </w:pPr>
      <w:r>
        <w:rPr>
          <w:sz w:val="24"/>
        </w:rPr>
      </w:r>
    </w:p>
    <w:p>
      <w:pPr>
        <w:pStyle w:val="Body"/>
        <w:widowControl/>
        <w:numPr>
          <w:ilvl w:val="0"/>
          <w:numId w:val="3"/>
        </w:numPr>
        <w:tabs>
          <w:tab w:val="clear" w:pos="720"/>
          <w:tab w:val="left" w:pos="1080" w:leader="none"/>
        </w:tabs>
        <w:ind w:hanging="360" w:start="1080" w:end="0"/>
        <w:rPr>
          <w:sz w:val="24"/>
        </w:rPr>
      </w:pPr>
      <w:r>
        <w:rPr>
          <w:sz w:val="24"/>
        </w:rPr>
        <w:t>In July, 1989, Conoco bought the Mertzon processing plant and related facilities from Farmland, Inc.  Conoco also took assignment of the “Transportation and Processing Agreement” (T &amp; P Agreement) that was in effect between Farmland and Northern.  The T &amp; P Agreement required Northern to deliver to Farmland (later Conoco) for processing all gas Northern purchased from producers in the Mertzon field.</w:t>
      </w:r>
    </w:p>
    <w:p>
      <w:pPr>
        <w:pStyle w:val="Body"/>
        <w:widowControl/>
        <w:numPr>
          <w:ilvl w:val="0"/>
          <w:numId w:val="3"/>
        </w:numPr>
        <w:tabs>
          <w:tab w:val="clear" w:pos="720"/>
          <w:tab w:val="left" w:pos="1080" w:leader="none"/>
        </w:tabs>
        <w:ind w:hanging="360" w:start="1080" w:end="0"/>
        <w:rPr>
          <w:sz w:val="24"/>
        </w:rPr>
      </w:pPr>
      <w:r>
        <w:rPr>
          <w:sz w:val="24"/>
        </w:rPr>
        <w:t xml:space="preserve">Northern, like all interstate pipelines, experienced a drastic decline in its sales markets during the late 1980’s and early 1990’s due to FERC’s efforts to restructure the natural gas industry.  During that period, Northern took steps to reduce its aggregate gas purchase obligations to keep pace with its rapidly declining sales markets.  Northern took various steps to reduce its purchases from the Mertzon field producers during that time frame, including engaging in buy out and buy down of purchase contracts.   </w:t>
      </w:r>
    </w:p>
    <w:p>
      <w:pPr>
        <w:pStyle w:val="Body"/>
        <w:widowControl/>
        <w:numPr>
          <w:ilvl w:val="0"/>
          <w:numId w:val="3"/>
        </w:numPr>
        <w:tabs>
          <w:tab w:val="clear" w:pos="720"/>
          <w:tab w:val="left" w:pos="1080" w:leader="none"/>
        </w:tabs>
        <w:ind w:hanging="360" w:start="1080" w:end="0"/>
        <w:rPr>
          <w:sz w:val="24"/>
        </w:rPr>
      </w:pPr>
      <w:r>
        <w:rPr>
          <w:sz w:val="24"/>
        </w:rPr>
        <w:t xml:space="preserve">In 1992, Conoco sued Northern in state court in Midland, claiming that Northern’s reduction of takes under the Mertzon field supply contracts, and efforts to buy out or otherwise reduce its take obligations under those contracts, constituted breach of the T &amp; P Agreement.  Conoco argued that the T &amp; P Agreement imposed a duty on Northern to deliver to Conoco for processing all gas reserves from Mertzon field wells dedicated to Northern for the productive life of those wells.   </w:t>
      </w:r>
    </w:p>
    <w:p>
      <w:pPr>
        <w:pStyle w:val="Body"/>
        <w:widowControl/>
        <w:numPr>
          <w:ilvl w:val="0"/>
          <w:numId w:val="3"/>
        </w:numPr>
        <w:tabs>
          <w:tab w:val="clear" w:pos="720"/>
          <w:tab w:val="left" w:pos="1080" w:leader="none"/>
        </w:tabs>
        <w:ind w:hanging="360" w:start="1080" w:end="0"/>
        <w:rPr>
          <w:sz w:val="24"/>
        </w:rPr>
      </w:pPr>
      <w:r>
        <w:rPr>
          <w:sz w:val="24"/>
        </w:rPr>
        <w:t xml:space="preserve">The case was tried to a jury in Midland and resulted in a jury award to Conoco of  approximately $20 million to compensate Conoco for lost processing profits.  </w:t>
      </w:r>
    </w:p>
    <w:p>
      <w:pPr>
        <w:pStyle w:val="Body"/>
        <w:widowControl/>
        <w:numPr>
          <w:ilvl w:val="0"/>
          <w:numId w:val="3"/>
        </w:numPr>
        <w:tabs>
          <w:tab w:val="clear" w:pos="720"/>
          <w:tab w:val="left" w:pos="1080" w:leader="none"/>
        </w:tabs>
        <w:ind w:hanging="360" w:start="1080" w:end="0"/>
        <w:rPr>
          <w:sz w:val="24"/>
        </w:rPr>
      </w:pPr>
      <w:r>
        <w:rPr>
          <w:sz w:val="24"/>
        </w:rPr>
        <w:t xml:space="preserve">Northern appealed the trial court judgment to the Court of Appeals for the Eighth District.  Northern argued that the T &amp; P Agreement obligated Northern to deliver to Conoco for processing all of the gas that Northern actually bought from Mertzon field producers, but did not obligate Northern to buy any gas.  The Court of Appeals agreed with Northern that the T &amp; P agreement did not obligate Northern to maintain its purchases from the Mertzon producers, but found that Northern had a duty of good faith under the T &amp; P agreement.  The court remanded the case to the trial court for a trial on whether Northern breached its duty of good faith by canceling its Mertzon purchase contracts.  </w:t>
      </w:r>
    </w:p>
    <w:p>
      <w:pPr>
        <w:pStyle w:val="Body"/>
        <w:widowControl/>
        <w:numPr>
          <w:ilvl w:val="0"/>
          <w:numId w:val="3"/>
        </w:numPr>
        <w:tabs>
          <w:tab w:val="clear" w:pos="720"/>
          <w:tab w:val="left" w:pos="1080" w:leader="none"/>
        </w:tabs>
        <w:ind w:hanging="360" w:start="1080" w:end="0"/>
        <w:rPr>
          <w:sz w:val="24"/>
        </w:rPr>
      </w:pPr>
      <w:r>
        <w:rPr>
          <w:sz w:val="24"/>
        </w:rPr>
        <w:t>Both Conoco and Northern appealed the Court of Appeals decision to the Texas Supreme Court.  Conoco argued that the Court of Appeals erred both in finding that the T &amp; P Agreement did not impose on Northern an obligation to maintain its Mertzon purchases and also in narrowly defining Northern’s obligation of good faith.  Northern argued that the Court of Appeals erred in imposing a duty of good faith under the T &amp; P Agreement and in failing to render judgment for Northern.</w:t>
      </w:r>
    </w:p>
    <w:p>
      <w:pPr>
        <w:pStyle w:val="Body"/>
        <w:widowControl/>
        <w:numPr>
          <w:ilvl w:val="0"/>
          <w:numId w:val="3"/>
        </w:numPr>
        <w:tabs>
          <w:tab w:val="clear" w:pos="720"/>
          <w:tab w:val="left" w:pos="1080" w:leader="none"/>
        </w:tabs>
        <w:ind w:hanging="360" w:start="1080" w:end="0"/>
        <w:rPr>
          <w:sz w:val="24"/>
        </w:rPr>
      </w:pPr>
      <w:r>
        <w:rPr>
          <w:sz w:val="24"/>
        </w:rPr>
        <w:t>On April 14, 1998, the Texas Supreme Court issued an opinion upholding the Court of Appeals on its finding that the T &amp; P Agreement imposed no obligation on Northern to continue its purchases from the Mertzon producers.  The Court also refused to find an implied obligation on Northern to continue its Mertzon purchases.  If left undisturbed on rehearing, the Supreme Court’s decision would have left Conoco with a take nothing judgment and ended the case.</w:t>
      </w:r>
    </w:p>
    <w:p>
      <w:pPr>
        <w:pStyle w:val="Body"/>
        <w:widowControl/>
        <w:numPr>
          <w:ilvl w:val="0"/>
          <w:numId w:val="3"/>
        </w:numPr>
        <w:tabs>
          <w:tab w:val="clear" w:pos="720"/>
          <w:tab w:val="left" w:pos="1080" w:leader="none"/>
        </w:tabs>
        <w:ind w:hanging="360" w:start="1080" w:end="0"/>
        <w:rPr>
          <w:sz w:val="24"/>
        </w:rPr>
      </w:pPr>
      <w:r>
        <w:rPr>
          <w:sz w:val="24"/>
        </w:rPr>
        <w:t>Conoco sought rehearing of the Supreme Court’s decision and argued that the T &amp; P Agreement was an “output” or “requirements” contract and therefore subject to an obligation that Northern not reduce its takes from the Mertzon producers in bad faith.</w:t>
      </w:r>
    </w:p>
    <w:p>
      <w:pPr>
        <w:pStyle w:val="Body"/>
        <w:widowControl/>
        <w:numPr>
          <w:ilvl w:val="0"/>
          <w:numId w:val="3"/>
        </w:numPr>
        <w:tabs>
          <w:tab w:val="clear" w:pos="720"/>
          <w:tab w:val="left" w:pos="1080" w:leader="none"/>
        </w:tabs>
        <w:ind w:hanging="360" w:start="1080" w:end="0"/>
        <w:rPr>
          <w:sz w:val="24"/>
        </w:rPr>
      </w:pPr>
      <w:r>
        <w:rPr>
          <w:sz w:val="24"/>
        </w:rPr>
        <w:t>On October 22, 1998, the Supreme Court granted Conoco’s rehearing request and found that the T &amp; P Agreement did impose an obligation on Northern not to reduce its takes of Mertzon gas in bad faith.  The Court remanded the case to the trial court “for a new trial for Conoco to attempt to prove that Northern canceled its gas purchase contracts without a valid business reason and in bad faith.”</w:t>
      </w:r>
    </w:p>
    <w:p>
      <w:pPr>
        <w:pStyle w:val="Body"/>
        <w:widowControl/>
        <w:rPr>
          <w:sz w:val="24"/>
        </w:rPr>
      </w:pPr>
      <w:r>
        <w:rPr>
          <w:sz w:val="24"/>
        </w:rPr>
      </w:r>
    </w:p>
    <w:p>
      <w:pPr>
        <w:pStyle w:val="Body"/>
        <w:widowControl/>
        <w:numPr>
          <w:ilvl w:val="0"/>
          <w:numId w:val="1"/>
        </w:numPr>
        <w:rPr>
          <w:sz w:val="24"/>
        </w:rPr>
      </w:pPr>
      <w:r>
        <w:rPr>
          <w:sz w:val="24"/>
        </w:rPr>
        <w:t>Current Status of the Case and Procedural Schedule</w:t>
      </w:r>
    </w:p>
    <w:p>
      <w:pPr>
        <w:pStyle w:val="Body"/>
        <w:widowControl/>
        <w:rPr>
          <w:sz w:val="24"/>
        </w:rPr>
      </w:pPr>
      <w:r>
        <w:rPr>
          <w:sz w:val="24"/>
        </w:rPr>
      </w:r>
    </w:p>
    <w:p>
      <w:pPr>
        <w:pStyle w:val="Body"/>
        <w:widowControl/>
        <w:numPr>
          <w:ilvl w:val="0"/>
          <w:numId w:val="2"/>
        </w:numPr>
        <w:ind w:hanging="360" w:start="1080" w:end="0"/>
        <w:rPr>
          <w:sz w:val="24"/>
        </w:rPr>
      </w:pPr>
      <w:r>
        <w:rPr>
          <w:sz w:val="24"/>
        </w:rPr>
        <w:t xml:space="preserve">On July 19, 1999, Northern moved for summary judgment arguing that Conoco could not, as a matter of law, show that Northern terminated the Mertzon supply contracts “without a valid business reason.”  Northern argued that the Supreme Court’s October 22, 1998 order created a two-pronged test, and that to prevail Conoco had to prove (1) that Northern acted without a valid business reason and (2) that Northern acted in bad faith.  Northern relied in large part on the Supreme Court’s detailed recitation of the regulatory history and its conclusion in the October 22 order that those regulatory events “forced pipelines to cease their prior practice of buying and reselling gas.” </w:t>
      </w:r>
    </w:p>
    <w:p>
      <w:pPr>
        <w:pStyle w:val="Body"/>
        <w:widowControl/>
        <w:numPr>
          <w:ilvl w:val="0"/>
          <w:numId w:val="2"/>
        </w:numPr>
        <w:ind w:hanging="360" w:start="1080" w:end="0"/>
        <w:rPr>
          <w:sz w:val="24"/>
        </w:rPr>
      </w:pPr>
      <w:r>
        <w:rPr>
          <w:sz w:val="24"/>
        </w:rPr>
        <w:t xml:space="preserve">On September 20, 1999, Judge Hyde denied Northern’s motion.  He concluded that the Supreme Court’s language, “without a valid business reason and in bad faith,” constitutes a one-pronged test.  Specifically, the judge ruled that “good faith is the controlling element and a valid business reason is merely the means of establishing good faith.”  He found that the question of whether Northern acted in bad faith was a question appropriately left for the jury, but did explain that “a valid business reason constitutes good faith in reducing or ceasing purchases altogether.“  </w:t>
      </w:r>
    </w:p>
    <w:p>
      <w:pPr>
        <w:pStyle w:val="Body"/>
        <w:widowControl/>
        <w:numPr>
          <w:ilvl w:val="0"/>
          <w:numId w:val="2"/>
        </w:numPr>
        <w:ind w:hanging="360" w:start="1080" w:end="0"/>
        <w:rPr>
          <w:sz w:val="24"/>
        </w:rPr>
      </w:pPr>
      <w:r>
        <w:rPr>
          <w:sz w:val="24"/>
        </w:rPr>
        <w:t xml:space="preserve">Discovery is ongoing and trial is currently scheduled to begin on August 7, 2000.  </w:t>
      </w:r>
    </w:p>
    <w:p>
      <w:pPr>
        <w:pStyle w:val="Body"/>
        <w:widowControl/>
        <w:rPr>
          <w:sz w:val="24"/>
        </w:rPr>
      </w:pPr>
      <w:r>
        <w:rPr>
          <w:sz w:val="24"/>
        </w:rPr>
      </w:r>
    </w:p>
    <w:p>
      <w:pPr>
        <w:pStyle w:val="Body"/>
        <w:widowControl/>
        <w:numPr>
          <w:ilvl w:val="0"/>
          <w:numId w:val="1"/>
        </w:numPr>
        <w:rPr>
          <w:sz w:val="24"/>
        </w:rPr>
      </w:pPr>
      <w:r>
        <w:rPr>
          <w:sz w:val="24"/>
        </w:rPr>
        <w:t>Litigation Positions of the Parties</w:t>
        <w:tab/>
      </w:r>
    </w:p>
    <w:p>
      <w:pPr>
        <w:pStyle w:val="Body"/>
        <w:widowControl/>
        <w:rPr>
          <w:sz w:val="24"/>
        </w:rPr>
      </w:pPr>
      <w:r>
        <w:rPr>
          <w:sz w:val="24"/>
        </w:rPr>
      </w:r>
    </w:p>
    <w:p>
      <w:pPr>
        <w:pStyle w:val="Body"/>
        <w:widowControl/>
        <w:numPr>
          <w:ilvl w:val="0"/>
          <w:numId w:val="2"/>
        </w:numPr>
        <w:ind w:hanging="360" w:start="1080" w:end="0"/>
        <w:rPr>
          <w:sz w:val="24"/>
        </w:rPr>
      </w:pPr>
      <w:r>
        <w:rPr>
          <w:sz w:val="24"/>
        </w:rPr>
        <w:t xml:space="preserve">Conoco will argue at trial that Northern had a variety of reasonable alternatives available to it to address the reduction in its sales markets, including assigning its purchase contracts to its marketing affiliate or a third party, retaining the Mertzon contracts to satisfy Northern’s need for operational gas, or buying the Mertzon contracts down to market price and staying in the merchant business.   Conoco will argue that by ignoring these alternatives and instead following a course of conduct that hurt Conoco, Northern acted in bad faith.  Additionally, Conoco will argue that Northern tried to mislead Conoco about Northern’s efforts to terminate the Mertzon contracts and committed other individual acts evidencing general bad faith toward Conoco and others.  Conoco is expected to rely on the damages theory that it used successfully in the first trial, and claim approximately $20 million in damages.  That theory assumes that, absent bad faith toward Conoco, Northern would have continued to purchase gas from the Mertzon producers through the March 1999 termination of the T &amp; P agreement at the historical level, in spite of Northern‘s declining sales volumes.    </w:t>
      </w:r>
    </w:p>
    <w:p>
      <w:pPr>
        <w:pStyle w:val="Body"/>
        <w:widowControl/>
        <w:numPr>
          <w:ilvl w:val="0"/>
          <w:numId w:val="2"/>
        </w:numPr>
        <w:ind w:hanging="360" w:start="1080" w:end="0"/>
        <w:rPr>
          <w:sz w:val="24"/>
        </w:rPr>
      </w:pPr>
      <w:r>
        <w:rPr>
          <w:sz w:val="24"/>
        </w:rPr>
        <w:t xml:space="preserve">Northern will argue that FERC’s restructuring of the gas industry left it in an untenable situation with gas purchase obligations far in excess of its rapidly declining sales markets.  Northern’s witnesses, Martin Allday and Mike McGowan, will testify that buying out or otherwise terminating purchase contracts was a legitimate option available to pipelines in general and Northern in particular for addressing the take or pay problem.  Witness Allday will further establish that Northern’s approach was entirely consistent with what FERC wanted pipelines to do.  Northern will further show that even Conoco was aware and must concede that Northern’s approach was one legitimate option because Conoco itself entered into many of the same type of buy out agreements that it criticizes Northern for using with the Mertzon producers and since every other interstate pipeline chose the same option that Northern chose:  reducing its purchase obligations and exiting the sales business.  On damages, we will argue that Northern had made the decision to get out of the sales business on a company-wide basis irrespective of any dealings it had with Conoco and the Mertzon producers.  Therefore, reasonable calculation of Conoco’s damages must assume that Northern would reduce its purchases of Mertzon gas even absent any bad faith toward Conoco and Conoco’s damages, if any, must be calculated on the resulting greatly reduced volume of gas compared to the volume of gas Conoco used.           </w:t>
      </w:r>
    </w:p>
    <w:p>
      <w:pPr>
        <w:pStyle w:val="Body"/>
        <w:widowControl/>
        <w:ind w:start="0" w:end="0"/>
        <w:rPr>
          <w:sz w:val="24"/>
        </w:rPr>
      </w:pPr>
      <w:r>
        <w:rPr>
          <w:sz w:val="24"/>
        </w:rPr>
      </w:r>
    </w:p>
    <w:p>
      <w:pPr>
        <w:pStyle w:val="Body"/>
        <w:widowControl/>
        <w:numPr>
          <w:ilvl w:val="0"/>
          <w:numId w:val="1"/>
        </w:numPr>
        <w:rPr>
          <w:sz w:val="24"/>
        </w:rPr>
      </w:pPr>
      <w:r>
        <w:rPr>
          <w:sz w:val="24"/>
        </w:rPr>
        <w:t>Settlement Positions</w:t>
      </w:r>
    </w:p>
    <w:p>
      <w:pPr>
        <w:pStyle w:val="Body"/>
        <w:widowControl/>
        <w:rPr>
          <w:sz w:val="24"/>
        </w:rPr>
      </w:pPr>
      <w:r>
        <w:rPr>
          <w:sz w:val="24"/>
        </w:rPr>
      </w:r>
    </w:p>
    <w:p>
      <w:pPr>
        <w:pStyle w:val="Body"/>
        <w:widowControl/>
        <w:numPr>
          <w:ilvl w:val="0"/>
          <w:numId w:val="2"/>
        </w:numPr>
        <w:ind w:hanging="360" w:start="1080" w:end="0"/>
        <w:rPr>
          <w:sz w:val="24"/>
        </w:rPr>
      </w:pPr>
      <w:r>
        <w:rPr>
          <w:sz w:val="24"/>
        </w:rPr>
        <w:t>In December of 1998 (shortly after the Texas Supreme Court granted Conoco’s rehearing request), Al Cleveland, Conoco’s former general counsel, acting informally as an intermediary between the parties, advised us that Conoco valued the case in the $5-10 million dollar range.  On our behalf, Cleveland communicated to Conoco that we gave the case a much lower value, in the $1 million range.</w:t>
      </w:r>
    </w:p>
    <w:p>
      <w:pPr>
        <w:pStyle w:val="Body"/>
        <w:widowControl/>
        <w:numPr>
          <w:ilvl w:val="0"/>
          <w:numId w:val="2"/>
        </w:numPr>
        <w:ind w:hanging="360" w:start="1080" w:end="0"/>
        <w:rPr>
          <w:sz w:val="24"/>
        </w:rPr>
      </w:pPr>
      <w:r>
        <w:rPr>
          <w:sz w:val="24"/>
        </w:rPr>
        <w:t>This fall, Conoco communicated to Mike Moran that they now value the case at approximately $20 million.  Mike communicated that our valuation of the case hasn’t changed.</w:t>
      </w:r>
    </w:p>
    <w:p>
      <w:pPr>
        <w:pStyle w:val="Body"/>
        <w:widowControl/>
        <w:rPr>
          <w:sz w:val="24"/>
        </w:rPr>
      </w:pPr>
      <w:r>
        <w:rPr>
          <w:sz w:val="24"/>
        </w:rPr>
      </w:r>
    </w:p>
    <w:p>
      <w:pPr>
        <w:pStyle w:val="Body"/>
        <w:widowControl/>
        <w:rPr>
          <w:sz w:val="24"/>
        </w:rPr>
      </w:pPr>
      <w:r>
        <w:rPr>
          <w:sz w:val="24"/>
        </w:rPr>
        <w:t>V.</w:t>
        <w:tab/>
        <w:t>The Mediation</w:t>
      </w:r>
    </w:p>
    <w:p>
      <w:pPr>
        <w:pStyle w:val="Body"/>
        <w:widowControl/>
        <w:rPr>
          <w:sz w:val="24"/>
        </w:rPr>
      </w:pPr>
      <w:r>
        <w:rPr>
          <w:sz w:val="24"/>
        </w:rPr>
      </w:r>
    </w:p>
    <w:p>
      <w:pPr>
        <w:pStyle w:val="Body"/>
        <w:widowControl/>
        <w:numPr>
          <w:ilvl w:val="0"/>
          <w:numId w:val="2"/>
        </w:numPr>
        <w:ind w:hanging="360" w:start="1080" w:end="0"/>
        <w:rPr>
          <w:sz w:val="24"/>
        </w:rPr>
      </w:pPr>
      <w:r>
        <w:rPr>
          <w:sz w:val="24"/>
        </w:rPr>
        <w:t>Conoco agreed to Judge Alvin Zimmerman as mediator.  Judge Zimmerman was our recommendation and is a highly respected and effective mediator.</w:t>
      </w:r>
    </w:p>
    <w:p>
      <w:pPr>
        <w:pStyle w:val="Body"/>
        <w:widowControl/>
        <w:numPr>
          <w:ilvl w:val="0"/>
          <w:numId w:val="2"/>
        </w:numPr>
        <w:ind w:hanging="360" w:start="1080" w:end="0"/>
        <w:rPr>
          <w:sz w:val="24"/>
        </w:rPr>
      </w:pPr>
      <w:r>
        <w:rPr>
          <w:sz w:val="24"/>
        </w:rPr>
        <w:t>Conoco’s team at the mediation will include Ted Davis and probably Steve Meadows, an assistant general counsel responsible for this litigation, and Brock Ridgway, a senior in-house lawyer who has been involved in this case from the beginning, as well as Conoco’s outside counsel, Jad Davis.</w:t>
      </w:r>
    </w:p>
    <w:p>
      <w:pPr>
        <w:pStyle w:val="Body"/>
        <w:widowControl/>
        <w:numPr>
          <w:ilvl w:val="0"/>
          <w:numId w:val="2"/>
        </w:numPr>
        <w:ind w:hanging="360" w:start="1080" w:end="0"/>
        <w:rPr>
          <w:sz w:val="24"/>
        </w:rPr>
      </w:pPr>
      <w:r>
        <w:rPr>
          <w:sz w:val="24"/>
        </w:rPr>
        <w:t xml:space="preserve">Our team will include Stan Horton, Mike Moran, Drew Fossum, and our outside lawyer Barrett Reasoner of the Gibbs and Bruns firm. </w:t>
      </w:r>
    </w:p>
    <w:p>
      <w:pPr>
        <w:pStyle w:val="Body"/>
        <w:widowControl/>
        <w:numPr>
          <w:ilvl w:val="0"/>
          <w:numId w:val="2"/>
        </w:numPr>
        <w:ind w:hanging="360" w:start="1080" w:end="0"/>
        <w:rPr>
          <w:sz w:val="24"/>
        </w:rPr>
      </w:pPr>
      <w:r>
        <w:rPr>
          <w:sz w:val="24"/>
        </w:rPr>
        <w:t xml:space="preserve">Conoco has on several occasions indicated that their preferred approach to mediation would be to “lock the business people in a room” until the case is resolved.  Given what we know about Conoco’s opinion of its case, we don’t believe such an approach would be productive. </w:t>
      </w:r>
    </w:p>
    <w:p>
      <w:pPr>
        <w:pStyle w:val="CopyList"/>
        <w:widowControl/>
        <w:rPr>
          <w:sz w:val="24"/>
        </w:rPr>
      </w:pPr>
      <w:r>
        <w:rPr>
          <w:sz w:val="24"/>
        </w:rPr>
      </w:r>
    </w:p>
    <w:p>
      <w:pPr>
        <w:pStyle w:val="Header"/>
        <w:tabs>
          <w:tab w:val="clear" w:pos="4320"/>
          <w:tab w:val="clear" w:pos="8640"/>
        </w:tabs>
        <w:rPr>
          <w:rFonts w:ascii="Arial" w:hAnsi="Arial" w:cs="Arial"/>
        </w:rPr>
      </w:pPr>
      <w:r>
        <w:rPr>
          <w:rFonts w:cs="Arial" w:ascii="Arial" w:hAnsi="Arial"/>
        </w:rPr>
        <w:t>CC:</w:t>
        <w:tab/>
        <w:t>Michael Moran</w:t>
      </w:r>
    </w:p>
    <w:p>
      <w:pPr>
        <w:pStyle w:val="Normal"/>
        <w:rPr>
          <w:rFonts w:ascii="Arial" w:hAnsi="Arial" w:cs="Arial"/>
        </w:rPr>
      </w:pPr>
      <w:r>
        <w:rPr>
          <w:rFonts w:cs="Arial" w:ascii="Arial" w:hAnsi="Arial"/>
        </w:rPr>
        <w:tab/>
        <w:t>Bill Cordes</w:t>
      </w:r>
    </w:p>
    <w:p>
      <w:pPr>
        <w:pStyle w:val="CopyList"/>
        <w:widowControl/>
        <w:rPr>
          <w:rFonts w:ascii="Arial" w:hAnsi="Arial" w:cs="Arial"/>
          <w:sz w:val="24"/>
        </w:rPr>
      </w:pPr>
      <w:r>
        <w:rPr>
          <w:rFonts w:cs="Arial"/>
          <w:sz w:val="24"/>
        </w:rPr>
      </w:r>
    </w:p>
    <w:p>
      <w:pPr>
        <w:pStyle w:val="CopyList"/>
        <w:widowControl/>
        <w:rPr>
          <w:sz w:val="24"/>
        </w:rPr>
      </w:pPr>
      <w:r>
        <w:rPr>
          <w:sz w:val="24"/>
        </w:rPr>
      </w:r>
    </w:p>
    <w:p>
      <w:pPr>
        <w:pStyle w:val="CopyList"/>
        <w:widowControl/>
        <w:rPr>
          <w:sz w:val="24"/>
        </w:rPr>
      </w:pPr>
      <w:r>
        <w:rPr>
          <w:sz w:val="24"/>
        </w:rPr>
      </w:r>
    </w:p>
    <w:sectPr>
      <w:headerReference w:type="default" r:id="rId3"/>
      <w:headerReference w:type="first" r:id="rId4"/>
      <w:type w:val="nextPage"/>
      <w:pgSz w:w="12240" w:h="15840"/>
      <w:pgMar w:left="1440" w:right="1440" w:gutter="0" w:header="720" w:top="144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t>Stan Horton</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792"/>
        </w:tabs>
        <w:ind w:start="792" w:hanging="720"/>
      </w:pPr>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widowControl w:val="false"/>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ject">
    <w:name w:val="Subject"/>
    <w:basedOn w:val="Normal"/>
    <w:qFormat/>
    <w:pPr>
      <w:widowControl w:val="false"/>
    </w:pPr>
    <w:rPr>
      <w:rFonts w:ascii="Arial" w:hAnsi="Arial" w:cs="Arial"/>
      <w:sz w:val="20"/>
    </w:rPr>
  </w:style>
  <w:style w:type="paragraph" w:styleId="Date">
    <w:name w:val="Date"/>
    <w:basedOn w:val="Normal"/>
    <w:qFormat/>
    <w:pPr>
      <w:widowControl w:val="false"/>
    </w:pPr>
    <w:rPr>
      <w:rFonts w:ascii="Arial" w:hAnsi="Arial" w:cs="Arial"/>
      <w:sz w:val="20"/>
    </w:rPr>
  </w:style>
  <w:style w:type="paragraph" w:styleId="To">
    <w:name w:val="To"/>
    <w:basedOn w:val="Normal"/>
    <w:qFormat/>
    <w:pPr>
      <w:widowControl w:val="false"/>
    </w:pPr>
    <w:rPr>
      <w:rFonts w:ascii="Arial" w:hAnsi="Arial" w:cs="Arial"/>
      <w:sz w:val="20"/>
    </w:rPr>
  </w:style>
  <w:style w:type="paragraph" w:styleId="From">
    <w:name w:val="From"/>
    <w:basedOn w:val="Normal"/>
    <w:qFormat/>
    <w:pPr>
      <w:widowControl w:val="false"/>
    </w:pPr>
    <w:rPr>
      <w:rFonts w:ascii="Arial" w:hAnsi="Arial" w:cs="Arial"/>
      <w:sz w:val="20"/>
    </w:rPr>
  </w:style>
  <w:style w:type="paragraph" w:styleId="Body">
    <w:name w:val="Body"/>
    <w:basedOn w:val="Normal"/>
    <w:qFormat/>
    <w:pPr>
      <w:widowControl w:val="false"/>
      <w:ind w:hanging="0" w:start="72" w:end="0"/>
    </w:pPr>
    <w:rPr>
      <w:rFonts w:ascii="Arial" w:hAnsi="Arial" w:cs="Arial"/>
      <w:color w:val="000080"/>
      <w:sz w:val="20"/>
    </w:rPr>
  </w:style>
  <w:style w:type="paragraph" w:styleId="Department">
    <w:name w:val="Department"/>
    <w:basedOn w:val="Normal"/>
    <w:qFormat/>
    <w:pPr>
      <w:widowControl w:val="false"/>
    </w:pPr>
    <w:rPr>
      <w:rFonts w:ascii="Arial" w:hAnsi="Arial" w:cs="Arial"/>
      <w:sz w:val="20"/>
    </w:rPr>
  </w:style>
  <w:style w:type="paragraph" w:styleId="CopyList">
    <w:name w:val="CopyList"/>
    <w:basedOn w:val="Normal"/>
    <w:qFormat/>
    <w:pPr>
      <w:widowControl w:val="false"/>
      <w:tabs>
        <w:tab w:val="clear" w:pos="720"/>
        <w:tab w:val="left" w:pos="504" w:leader="none"/>
      </w:tabs>
      <w:spacing w:before="360" w:after="0"/>
      <w:ind w:hanging="504" w:start="576" w:end="0"/>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2000-02-17T18:20:00Z</dcterms:created>
  <dc:creator>Enron</dc:creator>
  <dc:description/>
  <dc:language>en-CA</dc:language>
  <cp:lastModifiedBy>Enron</cp:lastModifiedBy>
  <cp:lastPrinted>2000-02-18T09:56:00Z</cp:lastPrinted>
  <dcterms:modified xsi:type="dcterms:W3CDTF">2000-02-18T13:37:00Z</dcterms:modified>
  <cp:revision>10</cp:revision>
  <dc:subject/>
  <dc:title/>
</cp:coreProperties>
</file>