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t>EnronOnline Confidentiality Agreement (Bilateral)</w:t>
      </w:r>
    </w:p>
    <w:p>
      <w:pPr>
        <w:pStyle w:val="Normal"/>
        <w:jc w:val="end"/>
        <w:rPr>
          <w:rFonts w:ascii="Times New Roman" w:hAnsi="Times New Roman" w:cs="Times New Roman"/>
          <w:sz w:val="22"/>
        </w:rPr>
      </w:pPr>
      <w:r>
        <w:rPr>
          <w:rFonts w:cs="Times New Roman" w:ascii="Times New Roman" w:hAnsi="Times New Roman"/>
          <w:sz w:val="22"/>
        </w:rPr>
        <w:t>Draft of 08/09/00</w:t>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______________________________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______________________________</w:t>
      </w:r>
    </w:p>
    <w:p>
      <w:pPr>
        <w:pStyle w:val="Normal"/>
        <w:jc w:val="both"/>
        <w:rPr>
          <w:rFonts w:ascii="Times New Roman" w:hAnsi="Times New Roman" w:cs="Times New Roman"/>
          <w:sz w:val="22"/>
        </w:rPr>
      </w:pPr>
      <w:r>
        <w:rPr>
          <w:rFonts w:cs="Times New Roman" w:ascii="Times New Roman" w:hAnsi="Times New Roman"/>
          <w:sz w:val="22"/>
        </w:rPr>
        <w:t>______________________________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___________________ and Enron North America Corp., Enron Net Works LLC and EnronOnline, LLC (hereinafter individually and collectively referred to as a party) are prepared to furnish each other with information in connection with [a possible transaction or other business relationship (“Transaction”) involving the EnronOnline website] (the "Confidential Information").  The term "Confidential Information" shall, with respect to the receiving party, not include information (a) that was delivered in anticipation of disclosure on the EnronOnline website, (b) as is or may become generally available to the public, (c) known to the receiving party at the time of disclosure or is thereafter acquired at any time from a source other than the other party hereto that was not known to the receiving party to be prohibited from making disclosure or (d)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_______________________________________</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/mnt/main-storage/datasets/enron-docs/doc/confidentiality_agmt_online__bilateral_8_9_00_.doc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_______________________</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2000-08-09T13:47:00Z</dcterms:created>
  <dc:creator>ECT</dc:creator>
  <dc:description/>
  <dc:language>en-CA</dc:language>
  <cp:lastModifiedBy>tjones</cp:lastModifiedBy>
  <cp:lastPrinted>2000-08-09T11:21:00Z</cp:lastPrinted>
  <dcterms:modified xsi:type="dcterms:W3CDTF">2000-08-09T13:56:00Z</dcterms:modified>
  <cp:revision>4</cp:revision>
  <dc:subject/>
  <dc:title>Reciprocal Confidentiality Agreement</dc:title>
</cp:coreProperties>
</file>