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EnronOnline Confidentiality Agreement (Bilateral)</w:t>
      </w:r>
    </w:p>
    <w:p>
      <w:pPr>
        <w:pStyle w:val="Normal"/>
        <w:jc w:val="end"/>
        <w:rPr>
          <w:rFonts w:ascii="Times New Roman" w:hAnsi="Times New Roman" w:cs="Times New Roman"/>
          <w:sz w:val="22"/>
        </w:rPr>
      </w:pPr>
      <w:r>
        <w:rPr>
          <w:rFonts w:cs="Times New Roman" w:ascii="Times New Roman" w:hAnsi="Times New Roman"/>
          <w:sz w:val="22"/>
        </w:rPr>
        <w:t>Draft of 11/29/00</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___________________ and Enron Net Works LLC and EnronOnline, LLC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[involving the EnronOnline website] (the "Confidential Information").  The term "Confidential Information" shall, with respect to the receiving party, not include information [(a) that was delivered in anticipation of disclosure on the EnronOnline website,</w:t>
      </w:r>
      <w:r>
        <w:rPr>
          <w:rStyle w:val="FootnoteCharacters"/>
          <w:rStyle w:val="FootnoteReference"/>
          <w:rFonts w:cs="Times New Roman" w:ascii="Times New Roman" w:hAnsi="Times New Roman"/>
        </w:rPr>
        <w:footnoteReference w:id="2"/>
      </w:r>
      <w:r>
        <w:rPr>
          <w:rFonts w:cs="Times New Roman" w:ascii="Times New Roman" w:hAnsi="Times New Roman"/>
          <w:sz w:val="22"/>
        </w:rPr>
        <w:t>]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footnotePr>
        <w:numFmt w:val="lowerRoman"/>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/mnt/main-storage/datasets/enron-docs/doc/confidentiality_agmt_online__bilateral_11_29_00_.doc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6"/>
        </w:rPr>
        <w:t xml:space="preserve"> </w:t>
      </w:r>
      <w:r>
        <w:rPr>
          <w:sz w:val="16"/>
        </w:rPr>
        <w:t>Keep this in for Stack Manager Lite NDAs.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lowerRoman"/>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2001-02-07T16:52:00Z</dcterms:created>
  <dc:creator>ECT</dc:creator>
  <dc:description/>
  <dc:language>en-CA</dc:language>
  <cp:lastModifiedBy>tjones</cp:lastModifiedBy>
  <cp:lastPrinted>2000-11-30T13:41:00Z</cp:lastPrinted>
  <dcterms:modified xsi:type="dcterms:W3CDTF">2001-08-16T12:21:00Z</dcterms:modified>
  <cp:revision>8</cp:revision>
  <dc:subject/>
  <dc:title>Reciprocal Confidentiality Agreement</dc:title>
</cp:coreProperties>
</file>