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EnronOnline Confidentiality Agreement (Bilateral)</w:t>
      </w:r>
    </w:p>
    <w:p>
      <w:pPr>
        <w:pStyle w:val="Normal"/>
        <w:jc w:val="end"/>
        <w:rPr>
          <w:rFonts w:ascii="Times New Roman" w:hAnsi="Times New Roman" w:cs="Times New Roman"/>
          <w:sz w:val="22"/>
        </w:rPr>
      </w:pPr>
      <w:r>
        <w:rPr>
          <w:rFonts w:cs="Times New Roman" w:ascii="Times New Roman" w:hAnsi="Times New Roman"/>
          <w:sz w:val="22"/>
        </w:rPr>
        <w:t>Draft of 04/11/00</w:t>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___________________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/mnt/main-storage/datasets/enron-docs/doc/confidentiality_agmt_online__bilateral_.doc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_______________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2000-04-11T16:12:00Z</dcterms:created>
  <dc:creator>ECT</dc:creator>
  <dc:description/>
  <dc:language>en-CA</dc:language>
  <cp:lastModifiedBy>Tana Jones</cp:lastModifiedBy>
  <cp:lastPrinted>2000-04-11T13:48:00Z</cp:lastPrinted>
  <dcterms:modified xsi:type="dcterms:W3CDTF">2000-04-11T16:18:00Z</dcterms:modified>
  <cp:revision>5</cp:revision>
  <dc:subject/>
  <dc:title>Reciprocal Confidentiality Agreement</dc:title>
</cp:coreProperties>
</file>