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bookmarkStart w:id="0" w:name="_1060452936"/>
      <w:bookmarkEnd w:id="0"/>
      <w:r>
        <w:rPr/>
        <w:object w:dxaOrig="1681" w:dyaOrig="286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84.05pt;height:143.3pt" filled="f" o:ole="">
            <v:imagedata r:id="rId3" o:title=""/>
          </v:shape>
          <o:OLEObject Type="Embed" ProgID="" ShapeID="ole_rId2" DrawAspect="Content" ObjectID="_1734625052" r:id="rId2"/>
        </w:object>
      </w:r>
      <w:r>
        <mc:AlternateContent>
          <mc:Choice Requires="wps">
            <w:drawing>
              <wp:anchor behindDoc="0" distT="0" distB="0" distL="114935" distR="114935" simplePos="0" locked="0" layoutInCell="1" allowOverlap="1" relativeHeight="3">
                <wp:simplePos x="0" y="0"/>
                <wp:positionH relativeFrom="column">
                  <wp:posOffset>1691640</wp:posOffset>
                </wp:positionH>
                <wp:positionV relativeFrom="paragraph">
                  <wp:posOffset>635</wp:posOffset>
                </wp:positionV>
                <wp:extent cx="4594860" cy="1920240"/>
                <wp:effectExtent l="0" t="0" r="0" b="0"/>
                <wp:wrapNone/>
                <wp:docPr id="1" name="Frame1"/>
                <a:graphic xmlns:a="http://schemas.openxmlformats.org/drawingml/2006/main">
                  <a:graphicData uri="http://schemas.microsoft.com/office/word/2010/wordprocessingShape">
                    <wps:wsp>
                      <wps:cNvSpPr txBox="1"/>
                      <wps:spPr>
                        <a:xfrm>
                          <a:off x="0" y="0"/>
                          <a:ext cx="4594860" cy="1920240"/>
                        </a:xfrm>
                        <a:prstGeom prst="rect"/>
                        <a:solidFill>
                          <a:srgbClr val="FFFFFF"/>
                        </a:solidFill>
                      </wps:spPr>
                      <wps:txbx>
                        <w:txbxContent>
                          <w:p>
                            <w:pPr>
                              <w:pStyle w:val="Normal"/>
                              <w:rPr>
                                <w:rFonts w:ascii="Arial" w:hAnsi="Arial" w:cs="Arial"/>
                                <w:sz w:val="22"/>
                              </w:rPr>
                            </w:pPr>
                            <w:r>
                              <w:rPr>
                                <w:rFonts w:cs="Arial" w:ascii="Arial" w:hAnsi="Arial"/>
                                <w:sz w:val="22"/>
                              </w:rPr>
                            </w:r>
                          </w:p>
                          <w:p>
                            <w:pPr>
                              <w:pStyle w:val="Heading3"/>
                              <w:ind w:hanging="0" w:start="0"/>
                              <w:jc w:val="center"/>
                              <w:rPr>
                                <w:rFonts w:ascii="Arial" w:hAnsi="Arial" w:cs="Arial"/>
                                <w:sz w:val="28"/>
                              </w:rPr>
                            </w:pPr>
                            <w:r>
                              <w:rPr>
                                <w:rFonts w:cs="Arial" w:ascii="Arial" w:hAnsi="Arial"/>
                                <w:sz w:val="28"/>
                              </w:rPr>
                              <w:t>Aspen ISIB Conference</w:t>
                            </w:r>
                          </w:p>
                          <w:p>
                            <w:pPr>
                              <w:pStyle w:val="Normal"/>
                              <w:jc w:val="center"/>
                              <w:rPr>
                                <w:b/>
                                <w:i/>
                                <w:i/>
                                <w:sz w:val="28"/>
                              </w:rPr>
                            </w:pPr>
                            <w:r>
                              <w:rPr>
                                <w:b/>
                                <w:i/>
                                <w:sz w:val="28"/>
                              </w:rPr>
                              <w:t xml:space="preserve">Balanced Leadership During Turbulence and Crisis: </w:t>
                            </w:r>
                          </w:p>
                          <w:p>
                            <w:pPr>
                              <w:pStyle w:val="Normal"/>
                              <w:jc w:val="center"/>
                              <w:rPr>
                                <w:b/>
                                <w:i/>
                                <w:i/>
                                <w:sz w:val="28"/>
                              </w:rPr>
                            </w:pPr>
                            <w:r>
                              <w:rPr>
                                <w:b/>
                                <w:i/>
                                <w:sz w:val="28"/>
                              </w:rPr>
                              <w:t>The Role of Executive Education</w:t>
                            </w:r>
                          </w:p>
                          <w:p>
                            <w:pPr>
                              <w:pStyle w:val="Header"/>
                              <w:tabs>
                                <w:tab w:val="clear" w:pos="4320"/>
                                <w:tab w:val="clear" w:pos="8640"/>
                              </w:tabs>
                              <w:ind w:start="2160" w:end="0"/>
                              <w:rPr>
                                <w:rFonts w:ascii="Arial" w:hAnsi="Arial" w:cs="Arial"/>
                                <w:b/>
                                <w:i/>
                                <w:i/>
                                <w:sz w:val="28"/>
                              </w:rPr>
                            </w:pPr>
                            <w:r>
                              <w:rPr>
                                <w:rFonts w:cs="Arial" w:ascii="Arial" w:hAnsi="Arial"/>
                                <w:b/>
                                <w:i/>
                                <w:sz w:val="28"/>
                              </w:rPr>
                            </w:r>
                          </w:p>
                          <w:p>
                            <w:pPr>
                              <w:pStyle w:val="Header"/>
                              <w:tabs>
                                <w:tab w:val="clear" w:pos="4320"/>
                                <w:tab w:val="clear" w:pos="8640"/>
                              </w:tabs>
                              <w:ind w:start="2160" w:end="0"/>
                              <w:rPr>
                                <w:rFonts w:ascii="Arial" w:hAnsi="Arial" w:cs="Arial"/>
                                <w:b/>
                                <w:sz w:val="22"/>
                              </w:rPr>
                            </w:pPr>
                            <w:r>
                              <w:rPr>
                                <w:rFonts w:cs="Arial" w:ascii="Arial" w:hAnsi="Arial"/>
                                <w:b/>
                                <w:sz w:val="22"/>
                              </w:rPr>
                              <w:t>November 13-15, 2001</w:t>
                            </w:r>
                          </w:p>
                          <w:p>
                            <w:pPr>
                              <w:pStyle w:val="Header"/>
                              <w:tabs>
                                <w:tab w:val="clear" w:pos="4320"/>
                                <w:tab w:val="clear" w:pos="8640"/>
                              </w:tabs>
                              <w:jc w:val="center"/>
                              <w:rPr>
                                <w:rFonts w:ascii="Arial" w:hAnsi="Arial" w:cs="Arial"/>
                                <w:b/>
                                <w:sz w:val="22"/>
                              </w:rPr>
                            </w:pPr>
                            <w:r>
                              <w:rPr>
                                <w:rFonts w:cs="Arial" w:ascii="Arial" w:hAnsi="Arial"/>
                                <w:b/>
                                <w:sz w:val="22"/>
                              </w:rPr>
                              <w:t>Aspen Wye River Conference Center</w:t>
                            </w:r>
                          </w:p>
                          <w:p>
                            <w:pPr>
                              <w:pStyle w:val="Header"/>
                              <w:tabs>
                                <w:tab w:val="clear" w:pos="4320"/>
                                <w:tab w:val="clear" w:pos="8640"/>
                              </w:tabs>
                              <w:jc w:val="center"/>
                              <w:rPr>
                                <w:rFonts w:ascii="Arial" w:hAnsi="Arial" w:cs="Arial"/>
                                <w:b/>
                                <w:sz w:val="22"/>
                              </w:rPr>
                            </w:pPr>
                            <w:r>
                              <w:rPr>
                                <w:rFonts w:cs="Arial" w:ascii="Arial" w:hAnsi="Arial"/>
                                <w:b/>
                                <w:sz w:val="22"/>
                              </w:rPr>
                              <w:t>Queenstown, Maryland</w:t>
                            </w:r>
                          </w:p>
                          <w:p>
                            <w:pPr>
                              <w:pStyle w:val="Header"/>
                              <w:tabs>
                                <w:tab w:val="clear" w:pos="4320"/>
                                <w:tab w:val="clear" w:pos="8640"/>
                              </w:tabs>
                              <w:jc w:val="center"/>
                              <w:rPr/>
                            </w:pPr>
                            <w:r>
                              <w:rPr/>
                              <w:t xml:space="preserve"> </w:t>
                            </w:r>
                          </w:p>
                          <w:p>
                            <w:pPr>
                              <w:pStyle w:val="Header"/>
                              <w:tabs>
                                <w:tab w:val="clear" w:pos="4320"/>
                                <w:tab w:val="clear" w:pos="8640"/>
                              </w:tabs>
                              <w:jc w:val="center"/>
                              <w:rPr>
                                <w:b/>
                              </w:rPr>
                            </w:pPr>
                            <w:r>
                              <w:rPr>
                                <w:b/>
                              </w:rPr>
                              <w:t>Conference Objectives</w:t>
                            </w:r>
                          </w:p>
                        </w:txbxContent>
                      </wps:txbx>
                      <wps:bodyPr anchor="t" lIns="92075" tIns="46355" rIns="92075" bIns="46355">
                        <a:noAutofit/>
                      </wps:bodyPr>
                    </wps:wsp>
                  </a:graphicData>
                </a:graphic>
              </wp:anchor>
            </w:drawing>
          </mc:Choice>
          <mc:Fallback>
            <w:pict>
              <v:rect fillcolor="#FFFFFF" style="position:absolute;rotation:-0;width:361.8pt;height:151.2pt;mso-wrap-distance-left:9.05pt;mso-wrap-distance-right:9.05pt;mso-wrap-distance-top:0pt;mso-wrap-distance-bottom:0pt;margin-top:0pt;mso-position-vertical-relative:text;margin-left:133.2pt;mso-position-horizontal-relative:text">
                <v:textbox inset="0.100694444444444in,0.0506944444444444in,0.100694444444444in,0.0506944444444444in">
                  <w:txbxContent>
                    <w:p>
                      <w:pPr>
                        <w:pStyle w:val="Normal"/>
                        <w:rPr>
                          <w:rFonts w:ascii="Arial" w:hAnsi="Arial" w:cs="Arial"/>
                          <w:sz w:val="22"/>
                        </w:rPr>
                      </w:pPr>
                      <w:r>
                        <w:rPr>
                          <w:rFonts w:cs="Arial" w:ascii="Arial" w:hAnsi="Arial"/>
                          <w:sz w:val="22"/>
                        </w:rPr>
                      </w:r>
                    </w:p>
                    <w:p>
                      <w:pPr>
                        <w:pStyle w:val="Heading3"/>
                        <w:ind w:hanging="0" w:start="0"/>
                        <w:jc w:val="center"/>
                        <w:rPr>
                          <w:rFonts w:ascii="Arial" w:hAnsi="Arial" w:cs="Arial"/>
                          <w:sz w:val="28"/>
                        </w:rPr>
                      </w:pPr>
                      <w:r>
                        <w:rPr>
                          <w:rFonts w:cs="Arial" w:ascii="Arial" w:hAnsi="Arial"/>
                          <w:sz w:val="28"/>
                        </w:rPr>
                        <w:t>Aspen ISIB Conference</w:t>
                      </w:r>
                    </w:p>
                    <w:p>
                      <w:pPr>
                        <w:pStyle w:val="Normal"/>
                        <w:jc w:val="center"/>
                        <w:rPr>
                          <w:b/>
                          <w:i/>
                          <w:i/>
                          <w:sz w:val="28"/>
                        </w:rPr>
                      </w:pPr>
                      <w:r>
                        <w:rPr>
                          <w:b/>
                          <w:i/>
                          <w:sz w:val="28"/>
                        </w:rPr>
                        <w:t xml:space="preserve">Balanced Leadership During Turbulence and Crisis: </w:t>
                      </w:r>
                    </w:p>
                    <w:p>
                      <w:pPr>
                        <w:pStyle w:val="Normal"/>
                        <w:jc w:val="center"/>
                        <w:rPr>
                          <w:b/>
                          <w:i/>
                          <w:i/>
                          <w:sz w:val="28"/>
                        </w:rPr>
                      </w:pPr>
                      <w:r>
                        <w:rPr>
                          <w:b/>
                          <w:i/>
                          <w:sz w:val="28"/>
                        </w:rPr>
                        <w:t>The Role of Executive Education</w:t>
                      </w:r>
                    </w:p>
                    <w:p>
                      <w:pPr>
                        <w:pStyle w:val="Header"/>
                        <w:tabs>
                          <w:tab w:val="clear" w:pos="4320"/>
                          <w:tab w:val="clear" w:pos="8640"/>
                        </w:tabs>
                        <w:ind w:start="2160" w:end="0"/>
                        <w:rPr>
                          <w:rFonts w:ascii="Arial" w:hAnsi="Arial" w:cs="Arial"/>
                          <w:b/>
                          <w:i/>
                          <w:i/>
                          <w:sz w:val="28"/>
                        </w:rPr>
                      </w:pPr>
                      <w:r>
                        <w:rPr>
                          <w:rFonts w:cs="Arial" w:ascii="Arial" w:hAnsi="Arial"/>
                          <w:b/>
                          <w:i/>
                          <w:sz w:val="28"/>
                        </w:rPr>
                      </w:r>
                    </w:p>
                    <w:p>
                      <w:pPr>
                        <w:pStyle w:val="Header"/>
                        <w:tabs>
                          <w:tab w:val="clear" w:pos="4320"/>
                          <w:tab w:val="clear" w:pos="8640"/>
                        </w:tabs>
                        <w:ind w:start="2160" w:end="0"/>
                        <w:rPr>
                          <w:rFonts w:ascii="Arial" w:hAnsi="Arial" w:cs="Arial"/>
                          <w:b/>
                          <w:sz w:val="22"/>
                        </w:rPr>
                      </w:pPr>
                      <w:r>
                        <w:rPr>
                          <w:rFonts w:cs="Arial" w:ascii="Arial" w:hAnsi="Arial"/>
                          <w:b/>
                          <w:sz w:val="22"/>
                        </w:rPr>
                        <w:t>November 13-15, 2001</w:t>
                      </w:r>
                    </w:p>
                    <w:p>
                      <w:pPr>
                        <w:pStyle w:val="Header"/>
                        <w:tabs>
                          <w:tab w:val="clear" w:pos="4320"/>
                          <w:tab w:val="clear" w:pos="8640"/>
                        </w:tabs>
                        <w:jc w:val="center"/>
                        <w:rPr>
                          <w:rFonts w:ascii="Arial" w:hAnsi="Arial" w:cs="Arial"/>
                          <w:b/>
                          <w:sz w:val="22"/>
                        </w:rPr>
                      </w:pPr>
                      <w:r>
                        <w:rPr>
                          <w:rFonts w:cs="Arial" w:ascii="Arial" w:hAnsi="Arial"/>
                          <w:b/>
                          <w:sz w:val="22"/>
                        </w:rPr>
                        <w:t>Aspen Wye River Conference Center</w:t>
                      </w:r>
                    </w:p>
                    <w:p>
                      <w:pPr>
                        <w:pStyle w:val="Header"/>
                        <w:tabs>
                          <w:tab w:val="clear" w:pos="4320"/>
                          <w:tab w:val="clear" w:pos="8640"/>
                        </w:tabs>
                        <w:jc w:val="center"/>
                        <w:rPr>
                          <w:rFonts w:ascii="Arial" w:hAnsi="Arial" w:cs="Arial"/>
                          <w:b/>
                          <w:sz w:val="22"/>
                        </w:rPr>
                      </w:pPr>
                      <w:r>
                        <w:rPr>
                          <w:rFonts w:cs="Arial" w:ascii="Arial" w:hAnsi="Arial"/>
                          <w:b/>
                          <w:sz w:val="22"/>
                        </w:rPr>
                        <w:t>Queenstown, Maryland</w:t>
                      </w:r>
                    </w:p>
                    <w:p>
                      <w:pPr>
                        <w:pStyle w:val="Header"/>
                        <w:tabs>
                          <w:tab w:val="clear" w:pos="4320"/>
                          <w:tab w:val="clear" w:pos="8640"/>
                        </w:tabs>
                        <w:jc w:val="center"/>
                        <w:rPr/>
                      </w:pPr>
                      <w:r>
                        <w:rPr/>
                        <w:t xml:space="preserve"> </w:t>
                      </w:r>
                    </w:p>
                    <w:p>
                      <w:pPr>
                        <w:pStyle w:val="Header"/>
                        <w:tabs>
                          <w:tab w:val="clear" w:pos="4320"/>
                          <w:tab w:val="clear" w:pos="8640"/>
                        </w:tabs>
                        <w:jc w:val="center"/>
                        <w:rPr>
                          <w:b/>
                        </w:rPr>
                      </w:pPr>
                      <w:r>
                        <w:rPr>
                          <w:b/>
                        </w:rPr>
                        <w:t>Conference Objectives</w:t>
                      </w:r>
                    </w:p>
                  </w:txbxContent>
                </v:textbox>
                <w10:wrap type="none"/>
              </v:rect>
            </w:pict>
          </mc:Fallback>
        </mc:AlternateContent>
      </w:r>
    </w:p>
    <w:p>
      <w:pPr>
        <w:pStyle w:val="Normal"/>
        <w:autoSpaceDE w:val="false"/>
        <w:jc w:val="center"/>
        <w:rPr>
          <w:b/>
          <w:sz w:val="22"/>
        </w:rPr>
      </w:pPr>
      <w:r>
        <w:rPr>
          <w:b/>
          <w:sz w:val="22"/>
        </w:rPr>
      </w:r>
    </w:p>
    <w:p>
      <w:pPr>
        <w:pStyle w:val="Normal"/>
        <w:autoSpaceDE w:val="false"/>
        <w:jc w:val="center"/>
        <w:rPr>
          <w:b/>
          <w:sz w:val="22"/>
        </w:rPr>
      </w:pPr>
      <w:r>
        <w:rPr>
          <w:b/>
          <w:sz w:val="22"/>
        </w:rPr>
      </w:r>
    </w:p>
    <w:p>
      <w:pPr>
        <w:pStyle w:val="Normal"/>
        <w:autoSpaceDE w:val="false"/>
        <w:rPr>
          <w:sz w:val="20"/>
        </w:rPr>
      </w:pPr>
      <w:r>
        <w:rPr>
          <w:sz w:val="20"/>
        </w:rPr>
        <w:t xml:space="preserve">In November Aspen ISIB will convene thirty experts in executive education from around the globe for a two-day working conference on “Balanced Leadership During Turbulence and Crisis: The Role of Executive Education.”  The meeting will be co-chaired by Gary Jusela, Chief Learning at Lucent Technologies and William Wiggenhorn, Executive Vice President and Chief Human Resources Officer, Providian Financial Corporation.  </w:t>
      </w:r>
    </w:p>
    <w:p>
      <w:pPr>
        <w:pStyle w:val="Normal"/>
        <w:autoSpaceDE w:val="false"/>
        <w:rPr>
          <w:sz w:val="20"/>
        </w:rPr>
      </w:pPr>
      <w:r>
        <w:rPr>
          <w:sz w:val="20"/>
        </w:rPr>
      </w:r>
    </w:p>
    <w:p>
      <w:pPr>
        <w:pStyle w:val="Normal"/>
        <w:autoSpaceDE w:val="false"/>
        <w:rPr>
          <w:sz w:val="20"/>
        </w:rPr>
      </w:pPr>
      <w:r>
        <w:rPr>
          <w:sz w:val="20"/>
        </w:rPr>
        <w:t>This conference is the third meeting sponsored by Aspen ISIB to consider the role of executive education in developing balanced business leaders,  i.e. executives who are attentive to the social impact of their decisions as well as to economic performance, to both the long and short term implications of their actions, and to the concerns and voices of their enterprise’s multiple stakeholders.</w:t>
      </w:r>
    </w:p>
    <w:p>
      <w:pPr>
        <w:pStyle w:val="Normal"/>
        <w:autoSpaceDE w:val="false"/>
        <w:rPr>
          <w:sz w:val="20"/>
        </w:rPr>
      </w:pPr>
      <w:r>
        <w:rPr>
          <w:sz w:val="20"/>
        </w:rPr>
      </w:r>
    </w:p>
    <w:p>
      <w:pPr>
        <w:pStyle w:val="Normal"/>
        <w:autoSpaceDE w:val="false"/>
        <w:rPr>
          <w:sz w:val="20"/>
        </w:rPr>
      </w:pPr>
      <w:r>
        <w:rPr>
          <w:sz w:val="20"/>
        </w:rPr>
        <w:t>The core objectives for Aspen ISIB for its convenings on balanced leadership are:</w:t>
      </w:r>
    </w:p>
    <w:p>
      <w:pPr>
        <w:pStyle w:val="Normal"/>
        <w:autoSpaceDE w:val="false"/>
        <w:rPr>
          <w:sz w:val="20"/>
        </w:rPr>
      </w:pPr>
      <w:r>
        <w:rPr>
          <w:sz w:val="20"/>
        </w:rPr>
      </w:r>
    </w:p>
    <w:p>
      <w:pPr>
        <w:pStyle w:val="Normal"/>
        <w:numPr>
          <w:ilvl w:val="0"/>
          <w:numId w:val="5"/>
        </w:numPr>
        <w:rPr>
          <w:sz w:val="20"/>
        </w:rPr>
      </w:pPr>
      <w:r>
        <w:rPr>
          <w:sz w:val="20"/>
        </w:rPr>
        <w:t>To learn from leading thinkers about “cutting edge” initiatives to develop balanced leaders;</w:t>
      </w:r>
    </w:p>
    <w:p>
      <w:pPr>
        <w:pStyle w:val="Normal"/>
        <w:ind w:start="360" w:end="0"/>
        <w:rPr>
          <w:sz w:val="20"/>
        </w:rPr>
      </w:pPr>
      <w:r>
        <w:rPr>
          <w:sz w:val="20"/>
        </w:rPr>
      </w:r>
    </w:p>
    <w:p>
      <w:pPr>
        <w:pStyle w:val="Normal"/>
        <w:numPr>
          <w:ilvl w:val="0"/>
          <w:numId w:val="5"/>
        </w:numPr>
        <w:rPr>
          <w:sz w:val="20"/>
        </w:rPr>
      </w:pPr>
      <w:r>
        <w:rPr>
          <w:sz w:val="20"/>
        </w:rPr>
        <w:t>To build and support a learning network of practitioners (academics and business people) who are striving to design and implement executive education programs and to build consensus about the role for such a network;</w:t>
      </w:r>
    </w:p>
    <w:p>
      <w:pPr>
        <w:pStyle w:val="Normal"/>
        <w:rPr>
          <w:sz w:val="20"/>
        </w:rPr>
      </w:pPr>
      <w:r>
        <w:rPr>
          <w:sz w:val="20"/>
        </w:rPr>
      </w:r>
    </w:p>
    <w:p>
      <w:pPr>
        <w:pStyle w:val="Normal"/>
        <w:numPr>
          <w:ilvl w:val="0"/>
          <w:numId w:val="5"/>
        </w:numPr>
        <w:rPr>
          <w:sz w:val="20"/>
        </w:rPr>
      </w:pPr>
      <w:r>
        <w:rPr>
          <w:sz w:val="20"/>
        </w:rPr>
        <w:t>To develop strategies for bringing these ideas to a broader set of practitioners and executives, i.e. providers and users of executive education.</w:t>
      </w:r>
    </w:p>
    <w:p>
      <w:pPr>
        <w:pStyle w:val="Normal"/>
        <w:rPr>
          <w:sz w:val="20"/>
        </w:rPr>
      </w:pPr>
      <w:r>
        <w:rPr>
          <w:sz w:val="20"/>
        </w:rPr>
      </w:r>
    </w:p>
    <w:p>
      <w:pPr>
        <w:pStyle w:val="BodyText"/>
        <w:rPr>
          <w:sz w:val="20"/>
        </w:rPr>
      </w:pPr>
      <w:r>
        <w:rPr>
          <w:sz w:val="20"/>
        </w:rPr>
        <w:t>Previous conferences have provided a useful framework for understanding the components of balanced leadership and exemplary education initiatives.  Now the challenges presented by the tragic events on September 11 and the severe economic downturn that preceded it offer a new “proving ground” for the ideas about balanced leadership discussed at previous meetings.  The specific objectives for the upcoming meeting relate to the implications for executive education of these challenges.  They are:</w:t>
      </w:r>
    </w:p>
    <w:p>
      <w:pPr>
        <w:pStyle w:val="Normal"/>
        <w:autoSpaceDE w:val="false"/>
        <w:ind w:start="360" w:end="0"/>
        <w:rPr>
          <w:sz w:val="20"/>
        </w:rPr>
      </w:pPr>
      <w:r>
        <w:rPr>
          <w:sz w:val="20"/>
        </w:rPr>
      </w:r>
    </w:p>
    <w:p>
      <w:pPr>
        <w:pStyle w:val="Normal"/>
        <w:numPr>
          <w:ilvl w:val="0"/>
          <w:numId w:val="4"/>
        </w:numPr>
        <w:tabs>
          <w:tab w:val="left" w:pos="720" w:leader="none"/>
        </w:tabs>
        <w:autoSpaceDE w:val="false"/>
        <w:ind w:hanging="360" w:start="720" w:end="0"/>
        <w:rPr>
          <w:sz w:val="20"/>
        </w:rPr>
      </w:pPr>
      <w:r>
        <w:rPr>
          <w:sz w:val="20"/>
        </w:rPr>
        <w:t>To explore how crisis and economic downturns affect us as individuals and affect our institutions, both domestically and globally.</w:t>
      </w:r>
    </w:p>
    <w:p>
      <w:pPr>
        <w:pStyle w:val="Normal"/>
        <w:autoSpaceDE w:val="false"/>
        <w:ind w:start="360" w:end="0"/>
        <w:rPr>
          <w:sz w:val="20"/>
        </w:rPr>
      </w:pPr>
      <w:r>
        <w:rPr>
          <w:sz w:val="20"/>
        </w:rPr>
        <w:t xml:space="preserve"> </w:t>
      </w:r>
    </w:p>
    <w:p>
      <w:pPr>
        <w:pStyle w:val="Normal"/>
        <w:numPr>
          <w:ilvl w:val="0"/>
          <w:numId w:val="4"/>
        </w:numPr>
        <w:tabs>
          <w:tab w:val="left" w:pos="720" w:leader="none"/>
        </w:tabs>
        <w:autoSpaceDE w:val="false"/>
        <w:ind w:hanging="360" w:start="720" w:end="0"/>
        <w:rPr>
          <w:sz w:val="20"/>
        </w:rPr>
      </w:pPr>
      <w:r>
        <w:rPr>
          <w:sz w:val="20"/>
        </w:rPr>
        <w:t>To consider the implications of crisis and downturns for balanced leaders and share ideas about how to develop capacities for leaders to work effectively in the midst of severe stress.  How can educators help leaders build on strengths and avert threats to balanced leadership?</w:t>
      </w:r>
    </w:p>
    <w:p>
      <w:pPr>
        <w:pStyle w:val="Normal"/>
        <w:autoSpaceDE w:val="false"/>
        <w:ind w:start="360" w:end="0"/>
        <w:rPr>
          <w:sz w:val="20"/>
        </w:rPr>
      </w:pPr>
      <w:r>
        <w:rPr>
          <w:sz w:val="20"/>
        </w:rPr>
      </w:r>
    </w:p>
    <w:p>
      <w:pPr>
        <w:pStyle w:val="Normal"/>
        <w:numPr>
          <w:ilvl w:val="0"/>
          <w:numId w:val="3"/>
        </w:numPr>
        <w:tabs>
          <w:tab w:val="left" w:pos="720" w:leader="none"/>
        </w:tabs>
        <w:autoSpaceDE w:val="false"/>
        <w:ind w:hanging="360" w:start="720" w:end="0"/>
        <w:rPr>
          <w:sz w:val="20"/>
        </w:rPr>
      </w:pPr>
      <w:r>
        <w:rPr>
          <w:sz w:val="20"/>
        </w:rPr>
        <w:t xml:space="preserve">To develop a </w:t>
      </w:r>
      <w:r>
        <w:rPr>
          <w:i/>
          <w:sz w:val="20"/>
        </w:rPr>
        <w:t>collective wisdom</w:t>
      </w:r>
      <w:r>
        <w:rPr>
          <w:sz w:val="20"/>
        </w:rPr>
        <w:t xml:space="preserve"> about the implications of balanced leadership in times of crisis and arrive at a message that facilitates sharing this learning in ways that are coherent, focused, and media worthy. </w:t>
      </w:r>
    </w:p>
    <w:p>
      <w:pPr>
        <w:pStyle w:val="Normal"/>
        <w:autoSpaceDE w:val="false"/>
        <w:rPr>
          <w:sz w:val="20"/>
        </w:rPr>
      </w:pPr>
      <w:r>
        <w:rPr>
          <w:sz w:val="20"/>
        </w:rPr>
      </w:r>
    </w:p>
    <w:p>
      <w:pPr>
        <w:pStyle w:val="Normal"/>
        <w:numPr>
          <w:ilvl w:val="0"/>
          <w:numId w:val="2"/>
        </w:numPr>
        <w:tabs>
          <w:tab w:val="left" w:pos="720" w:leader="none"/>
        </w:tabs>
        <w:autoSpaceDE w:val="false"/>
        <w:ind w:hanging="360" w:start="720" w:end="0"/>
        <w:rPr>
          <w:sz w:val="20"/>
        </w:rPr>
      </w:pPr>
      <w:r>
        <w:rPr>
          <w:sz w:val="20"/>
        </w:rPr>
        <w:t>To consider how this learning connects to – and is enhanced by - other Aspen ISIB program activities.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jc w:val="center"/>
      <w:outlineLvl w:val="0"/>
    </w:pPr>
    <w:rPr>
      <w:b/>
      <w:bCs/>
      <w:sz w:val="28"/>
      <w:szCs w:val="20"/>
    </w:rPr>
  </w:style>
  <w:style w:type="paragraph" w:styleId="Heading2">
    <w:name w:val="heading 2"/>
    <w:basedOn w:val="Normal"/>
    <w:next w:val="Normal"/>
    <w:qFormat/>
    <w:pPr>
      <w:keepNext w:val="true"/>
      <w:numPr>
        <w:ilvl w:val="1"/>
        <w:numId w:val="1"/>
      </w:numPr>
      <w:autoSpaceDE w:val="false"/>
      <w:jc w:val="center"/>
      <w:outlineLvl w:val="1"/>
    </w:pPr>
    <w:rPr>
      <w:b/>
      <w:bCs/>
      <w:sz w:val="22"/>
      <w:szCs w:val="20"/>
    </w:rPr>
  </w:style>
  <w:style w:type="paragraph" w:styleId="Heading3">
    <w:name w:val="heading 3"/>
    <w:basedOn w:val="Normal"/>
    <w:next w:val="Normal"/>
    <w:qFormat/>
    <w:pPr>
      <w:keepNext w:val="true"/>
      <w:numPr>
        <w:ilvl w:val="2"/>
        <w:numId w:val="1"/>
      </w:numPr>
      <w:outlineLvl w:val="2"/>
    </w:pPr>
    <w:rPr>
      <w:b/>
      <w:bCs/>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2001-09-25T13:25:00Z</dcterms:created>
  <dc:creator>Nancy McGaw</dc:creator>
  <dc:description/>
  <dc:language>en-CA</dc:language>
  <cp:lastModifiedBy>Nancy McGaw</cp:lastModifiedBy>
  <cp:lastPrinted>2001-09-26T16:26:00Z</cp:lastPrinted>
  <dcterms:modified xsi:type="dcterms:W3CDTF">2001-09-26T19:14:00Z</dcterms:modified>
  <cp:revision>5</cp:revision>
  <dc:subject/>
  <dc:title>CO-CHAIRS:</dc:title>
</cp:coreProperties>
</file>